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951EF">
      <w:pPr>
        <w:jc w:val="center"/>
        <w:rPr>
          <w:rFonts w:hint="eastAsia"/>
          <w:sz w:val="30"/>
          <w:szCs w:val="30"/>
          <w:lang w:val="en-US" w:eastAsia="zh-CN"/>
        </w:rPr>
      </w:pPr>
      <w:r>
        <w:rPr>
          <w:rFonts w:hint="eastAsia"/>
          <w:sz w:val="30"/>
          <w:szCs w:val="30"/>
          <w:lang w:val="en-US" w:eastAsia="zh-CN"/>
        </w:rPr>
        <w:t>设备配置一览表</w:t>
      </w:r>
    </w:p>
    <w:tbl>
      <w:tblPr>
        <w:tblStyle w:val="14"/>
        <w:tblpPr w:leftFromText="180" w:rightFromText="180" w:vertAnchor="page" w:horzAnchor="page" w:tblpX="1312" w:tblpY="2689"/>
        <w:tblOverlap w:val="never"/>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0"/>
        <w:gridCol w:w="1537"/>
        <w:gridCol w:w="6313"/>
        <w:gridCol w:w="612"/>
        <w:gridCol w:w="638"/>
      </w:tblGrid>
      <w:tr w14:paraId="10845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shd w:val="clear" w:color="auto" w:fill="auto"/>
            <w:vAlign w:val="top"/>
          </w:tcPr>
          <w:p w14:paraId="2070A9F4">
            <w:pPr>
              <w:widowControl w:val="0"/>
              <w:spacing w:beforeLines="0" w:afterLines="0"/>
              <w:jc w:val="center"/>
              <w:rPr>
                <w:rFonts w:hint="eastAsia" w:ascii="宋体" w:hAnsi="宋体" w:eastAsia="宋体"/>
                <w:color w:val="000000"/>
                <w:sz w:val="22"/>
                <w:szCs w:val="24"/>
                <w:lang w:val="en-US" w:eastAsia="zh-CN"/>
              </w:rPr>
            </w:pPr>
            <w:r>
              <w:rPr>
                <w:rFonts w:hint="eastAsia" w:ascii="宋体" w:hAnsi="宋体"/>
                <w:color w:val="000000"/>
                <w:sz w:val="22"/>
                <w:szCs w:val="24"/>
                <w:lang w:val="en-US" w:eastAsia="zh-CN"/>
              </w:rPr>
              <w:t>序号</w:t>
            </w:r>
          </w:p>
        </w:tc>
        <w:tc>
          <w:tcPr>
            <w:tcW w:w="1537" w:type="dxa"/>
            <w:shd w:val="clear" w:color="auto" w:fill="auto"/>
            <w:vAlign w:val="center"/>
          </w:tcPr>
          <w:p w14:paraId="7AF3075F">
            <w:pPr>
              <w:widowControl w:val="0"/>
              <w:spacing w:beforeLines="0" w:afterLines="0"/>
              <w:jc w:val="center"/>
              <w:rPr>
                <w:rFonts w:hint="eastAsia" w:ascii="宋体" w:hAnsi="宋体" w:eastAsia="宋体"/>
                <w:color w:val="000000"/>
                <w:kern w:val="2"/>
                <w:sz w:val="22"/>
                <w:szCs w:val="24"/>
                <w:lang w:val="en-US" w:eastAsia="zh-CN"/>
              </w:rPr>
            </w:pPr>
            <w:r>
              <w:rPr>
                <w:rFonts w:hint="eastAsia" w:ascii="宋体" w:hAnsi="宋体"/>
                <w:color w:val="000000"/>
                <w:sz w:val="22"/>
                <w:szCs w:val="24"/>
              </w:rPr>
              <w:t>设备名称</w:t>
            </w:r>
          </w:p>
        </w:tc>
        <w:tc>
          <w:tcPr>
            <w:tcW w:w="6313" w:type="dxa"/>
            <w:shd w:val="clear" w:color="auto" w:fill="auto"/>
            <w:vAlign w:val="center"/>
          </w:tcPr>
          <w:p w14:paraId="3BE63BA3">
            <w:pPr>
              <w:widowControl w:val="0"/>
              <w:spacing w:beforeLines="0" w:afterLines="0"/>
              <w:jc w:val="center"/>
              <w:rPr>
                <w:rFonts w:hint="eastAsia" w:ascii="宋体" w:hAnsi="宋体" w:eastAsia="宋体"/>
                <w:color w:val="000000"/>
                <w:kern w:val="2"/>
                <w:sz w:val="22"/>
                <w:szCs w:val="24"/>
                <w:lang w:val="en-US" w:eastAsia="zh-CN"/>
              </w:rPr>
            </w:pPr>
            <w:r>
              <w:rPr>
                <w:rFonts w:hint="eastAsia" w:ascii="宋体" w:hAnsi="宋体"/>
                <w:color w:val="000000"/>
                <w:sz w:val="22"/>
                <w:szCs w:val="24"/>
              </w:rPr>
              <w:t>技术参数</w:t>
            </w:r>
          </w:p>
        </w:tc>
        <w:tc>
          <w:tcPr>
            <w:tcW w:w="612" w:type="dxa"/>
            <w:shd w:val="clear" w:color="auto" w:fill="auto"/>
            <w:vAlign w:val="center"/>
          </w:tcPr>
          <w:p w14:paraId="7D3DB2EC">
            <w:pPr>
              <w:widowControl w:val="0"/>
              <w:spacing w:beforeLines="0" w:afterLines="0"/>
              <w:jc w:val="center"/>
              <w:rPr>
                <w:rFonts w:hint="eastAsia" w:ascii="宋体" w:hAnsi="宋体" w:eastAsia="宋体"/>
                <w:color w:val="000000"/>
                <w:kern w:val="2"/>
                <w:sz w:val="22"/>
                <w:szCs w:val="24"/>
                <w:lang w:val="en-US" w:eastAsia="zh-CN"/>
              </w:rPr>
            </w:pPr>
            <w:r>
              <w:rPr>
                <w:rFonts w:hint="eastAsia" w:ascii="宋体" w:hAnsi="宋体"/>
                <w:color w:val="000000"/>
                <w:sz w:val="22"/>
                <w:szCs w:val="24"/>
              </w:rPr>
              <w:t>数量</w:t>
            </w:r>
          </w:p>
        </w:tc>
        <w:tc>
          <w:tcPr>
            <w:tcW w:w="638" w:type="dxa"/>
            <w:shd w:val="clear" w:color="auto" w:fill="auto"/>
            <w:vAlign w:val="center"/>
          </w:tcPr>
          <w:p w14:paraId="58CD6199">
            <w:pPr>
              <w:widowControl w:val="0"/>
              <w:spacing w:beforeLines="0" w:afterLines="0"/>
              <w:jc w:val="center"/>
              <w:rPr>
                <w:rFonts w:hint="eastAsia" w:ascii="宋体" w:hAnsi="宋体" w:eastAsia="宋体"/>
                <w:color w:val="000000"/>
                <w:kern w:val="2"/>
                <w:sz w:val="22"/>
                <w:szCs w:val="24"/>
                <w:lang w:val="en-US" w:eastAsia="zh-CN"/>
              </w:rPr>
            </w:pPr>
            <w:r>
              <w:rPr>
                <w:rFonts w:hint="eastAsia" w:ascii="宋体" w:hAnsi="宋体"/>
                <w:color w:val="000000"/>
                <w:sz w:val="22"/>
                <w:szCs w:val="24"/>
              </w:rPr>
              <w:t>单位</w:t>
            </w:r>
          </w:p>
        </w:tc>
      </w:tr>
      <w:tr w14:paraId="62625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shd w:val="clear" w:color="auto" w:fill="auto"/>
            <w:vAlign w:val="center"/>
          </w:tcPr>
          <w:p w14:paraId="13E08EC2">
            <w:pPr>
              <w:widowControl w:val="0"/>
              <w:spacing w:beforeLines="0" w:afterLines="0"/>
              <w:jc w:val="center"/>
              <w:rPr>
                <w:rFonts w:hint="eastAsia" w:ascii="宋体" w:hAnsi="宋体" w:eastAsia="宋体"/>
                <w:color w:val="000000"/>
                <w:kern w:val="2"/>
                <w:sz w:val="22"/>
                <w:szCs w:val="24"/>
                <w:lang w:val="en-US" w:eastAsia="zh-CN"/>
              </w:rPr>
            </w:pPr>
            <w:r>
              <w:rPr>
                <w:rFonts w:hint="eastAsia" w:ascii="宋体" w:hAnsi="宋体"/>
                <w:color w:val="000000"/>
                <w:sz w:val="22"/>
                <w:szCs w:val="24"/>
              </w:rPr>
              <w:t>1</w:t>
            </w:r>
          </w:p>
        </w:tc>
        <w:tc>
          <w:tcPr>
            <w:tcW w:w="1537" w:type="dxa"/>
            <w:shd w:val="clear" w:color="auto" w:fill="auto"/>
            <w:vAlign w:val="center"/>
          </w:tcPr>
          <w:p w14:paraId="7D79D438">
            <w:pPr>
              <w:widowControl w:val="0"/>
              <w:spacing w:beforeLines="0" w:afterLines="0"/>
              <w:jc w:val="center"/>
              <w:rPr>
                <w:rFonts w:hint="eastAsia" w:ascii="宋体" w:hAnsi="宋体" w:cs="Times New Roman"/>
                <w:color w:val="000000"/>
                <w:sz w:val="22"/>
                <w:szCs w:val="24"/>
                <w:lang w:val="en-US" w:eastAsia="zh-CN"/>
              </w:rPr>
            </w:pPr>
            <w:r>
              <w:rPr>
                <w:rFonts w:hint="eastAsia" w:ascii="宋体" w:hAnsi="宋体" w:cs="Times New Roman"/>
                <w:color w:val="000000"/>
                <w:sz w:val="22"/>
                <w:szCs w:val="24"/>
              </w:rPr>
              <w:t>教学一体机</w:t>
            </w:r>
          </w:p>
        </w:tc>
        <w:tc>
          <w:tcPr>
            <w:tcW w:w="6313" w:type="dxa"/>
            <w:shd w:val="clear" w:color="auto" w:fill="auto"/>
            <w:vAlign w:val="center"/>
          </w:tcPr>
          <w:p w14:paraId="6098F928">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一、OPS电脑系统</w:t>
            </w:r>
          </w:p>
          <w:p w14:paraId="69082D3A">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（一）OPS核心配置</w:t>
            </w:r>
          </w:p>
          <w:p w14:paraId="70CDB0B9">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（1）CPU：搭载Intel  酷睿系列≥ i5 CPU。</w:t>
            </w:r>
          </w:p>
          <w:p w14:paraId="7CCC8D06">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（2）内存：8GB DDR4笔记本内存或以上配置。</w:t>
            </w:r>
          </w:p>
          <w:p w14:paraId="5E97DB26">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（3）硬盘：512 GB或以上SSD固态硬盘。</w:t>
            </w:r>
          </w:p>
          <w:p w14:paraId="49C32A74">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（二）OPS结构和接口</w:t>
            </w:r>
          </w:p>
          <w:p w14:paraId="60B652CE">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1、采用按压式卡扣，无需工具即可快速拆卸电脑模块。</w:t>
            </w:r>
          </w:p>
          <w:p w14:paraId="49F6F6AB">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2、PC 模块可抽拉式插入整机，可实现无单独接线的拔插。</w:t>
            </w:r>
          </w:p>
          <w:p w14:paraId="1F0E5F81">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3、具有标准 PC 防盗锁孔，确保电脑模块安全防盗。</w:t>
            </w:r>
          </w:p>
          <w:p w14:paraId="575AA93D">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4、和整机的连接采用万兆级接口，传输速率≥10Gbps。</w:t>
            </w:r>
          </w:p>
          <w:p w14:paraId="59787EAD">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5、接口设计：</w:t>
            </w:r>
          </w:p>
          <w:p w14:paraId="1D7EF21A">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（1）具有独立非外拓展的视频输出接口：≥1 路 HDMI。</w:t>
            </w:r>
          </w:p>
          <w:p w14:paraId="06060C2D">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（2）具有独立非外拓展的电脑 USB 接口：至少具备 4个USB3.0 接口。</w:t>
            </w:r>
          </w:p>
          <w:p w14:paraId="30C54967">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（3）和整机的连接接口针脚数≤40pin。</w:t>
            </w:r>
          </w:p>
          <w:p w14:paraId="13D4076F">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二、护眼屏幕要求</w:t>
            </w:r>
          </w:p>
          <w:p w14:paraId="6E200296">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1、整机背光系统支持DC调光方式，多级亮度调节，支持白颜色背景下最暗亮度≤100nit，用于提升显示对比度。</w:t>
            </w:r>
          </w:p>
          <w:p w14:paraId="220BB391">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2、整机屏幕蓝光占比（有害蓝光415～455nm能量综合）/（整体蓝光400～500能量综合）＜50%</w:t>
            </w:r>
          </w:p>
          <w:p w14:paraId="39774983">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3、支持标准、多媒体和节能三种图像模式调节。</w:t>
            </w:r>
          </w:p>
          <w:p w14:paraId="5351FC25">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▲4、整机屏幕采用≥86英寸液晶显示器。整机采用超高清LED液晶显示屏，显示比例16:9，分辨率3840×2160。整机色域覆盖率（NTSC）≥72%，灰阶等级≥256级。。</w:t>
            </w:r>
          </w:p>
          <w:p w14:paraId="6C6003E2">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5、支持自定义图像设置，可对对比度、屏幕色温、图像亮度、亮度范围、色彩空间调节设置。</w:t>
            </w:r>
          </w:p>
          <w:p w14:paraId="42DE635D">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6、整机系统支持手势上滑调出人工智能画质调节模式（AI-PQ），在安卓通道下可根据屏幕内容自动调节画质参数，当屏幕出现人物、建筑、夜景等元素时，自动调整对比度、饱和度、锐利度、色调色相值、高光/阴影。</w:t>
            </w:r>
          </w:p>
          <w:p w14:paraId="25810B16">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7、整机视网膜蓝光危害（蓝光加权辐射亮度LB）满足IEC TR 62778:2014蓝光危害RG0级别</w:t>
            </w:r>
          </w:p>
          <w:p w14:paraId="296411C6">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8、整机全通道支持纸质护眼模式，可实现画面纹理的实时调整；支持纸质纹理：牛皮纸、素描纸、宣纸、水彩纸、水纹纸；支持透明度调节；支持色温调节。（投标时须提供国家认可的第三方检测（检验）机构出具的带有CMA或CNAS标志的关于该功能检测（检验）报告复印件）</w:t>
            </w:r>
          </w:p>
          <w:p w14:paraId="65F5798B">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9、纸质护眼模式下，显示画面各像素点灰度不规则，减少背景干扰。</w:t>
            </w:r>
          </w:p>
          <w:p w14:paraId="05F1B73B">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三、整机接口设计与安全设计</w:t>
            </w:r>
          </w:p>
          <w:p w14:paraId="33B8AB5B">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1、侧置输入接口具备2路HDMI、1路RS232、1路USB接口。</w:t>
            </w:r>
          </w:p>
          <w:p w14:paraId="5ED43B60">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2、侧置输出接口具备1路音频输出、1路触控USB输出。</w:t>
            </w:r>
          </w:p>
          <w:p w14:paraId="29EAD864">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3、前置输入接口3路USB接口（包含1路Type-C、2路USB）。</w:t>
            </w:r>
          </w:p>
          <w:p w14:paraId="3DE5DB7C">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▲4、支持通过Type-C接口U盘进行文件传输，兼容Type-C接口手机充电。</w:t>
            </w:r>
          </w:p>
          <w:p w14:paraId="72059FEE">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5、整机采用一体设计，外部无任何可见内部功能模块连接线。边角采用弧形设计，表面无尖锐边缘或凸起。</w:t>
            </w:r>
          </w:p>
          <w:p w14:paraId="248B6617">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6、整机采用全金属外壳设计，边框为金属一体成型。</w:t>
            </w:r>
          </w:p>
          <w:p w14:paraId="79B3DB6A">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7、整机屏幕边缘采用金属圆角包边防护，整机背板采用金属材质，有效屏蔽内部电路器件辐射；防潮耐盐雾蚀锈，适应多种教学环境。</w:t>
            </w:r>
          </w:p>
          <w:p w14:paraId="4B4EF582">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四、整体无线与网络功能设计</w:t>
            </w:r>
          </w:p>
          <w:p w14:paraId="62E7EC48">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1、整机无需外接无线网卡，在Windows系统下可实现Wi-Fi无线上网连接、AP无线热点发射和BT蓝牙连接功能。</w:t>
            </w:r>
          </w:p>
          <w:p w14:paraId="1DD1378A">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2、Wi-Fi和AP热点工作距离≥12m。</w:t>
            </w:r>
          </w:p>
          <w:p w14:paraId="4C2315C7">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3、整机支持蓝牙Bluetooth 5.4标准，固件版本号HCI13.0/LMP13.0。</w:t>
            </w:r>
          </w:p>
          <w:p w14:paraId="11FCD4B2">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4、整机PC端支持主动发现蓝牙外设从而连接（无需整机进入发现模式），支持连接外部蓝牙音箱播放音频。</w:t>
            </w:r>
          </w:p>
          <w:p w14:paraId="37B3F145">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▲5、整机支持发出频率为18kHz-22kHz超声波信号，智能手机通过麦克风接收后，智能手机与整机无需在同一局域网内，可实现配对，一键投屏，用户无需手动输入投屏码或扫码获取投屏码；</w:t>
            </w:r>
          </w:p>
          <w:p w14:paraId="47FCFF65">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6、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在进行传屏；投屏时可以选择过滤特定应用窗口，如邮件应用窗口。</w:t>
            </w:r>
          </w:p>
          <w:p w14:paraId="7FFE95CC">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7、整机内置双WiFi6无线网卡（不接受外接），在Android和Windows系统下，可实现Wi-Fi无线上网连接、AP无线热点发射。</w:t>
            </w:r>
          </w:p>
          <w:p w14:paraId="255049FB">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▲8、整机内置双WiFi6无线网卡（不接受外接），在Android下支持无线设备同时连接数量≥32个，在Windows系统下支持无线设备同时连接≥8个；</w:t>
            </w:r>
          </w:p>
          <w:p w14:paraId="5ACDB20A">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9、整机无需外接无线网卡，在Windows系统下接入无线网络，切换到嵌入式Android系统下可直接实现无线上网功能，不需手动重复设置。</w:t>
            </w:r>
          </w:p>
          <w:p w14:paraId="1334794A">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10、Wi-Fi及AP热点支持频段2.4GHz/5GHz</w:t>
            </w:r>
          </w:p>
          <w:p w14:paraId="494256F7">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▲11、Wi-Fi制式支持IEEE 802.11 a/b/g/n/ac/ax；支持版本Wi-Fi6。</w:t>
            </w:r>
          </w:p>
          <w:p w14:paraId="49CE3623">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五、侧边栏教学设计要求</w:t>
            </w:r>
          </w:p>
          <w:p w14:paraId="3AFE50EB">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1、整机全通道侧边栏快捷菜单包含如下小工具：批注、降半屏、截屏、放大镜、倒计时、日历、聚光灯、秒表、冻屏、倒数日、答题、节拍器</w:t>
            </w:r>
          </w:p>
          <w:p w14:paraId="77DC3B3E">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2、整机全通道侧边栏快捷菜单小工具支持自定义，支持设置对应小工具的显示/隐藏。</w:t>
            </w:r>
          </w:p>
          <w:p w14:paraId="1954EEB2">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3、整机全通道侧边栏支持使用批注小工具进行批注讲解，可切换书写笔颜色、截屏保存批注内容、清屏，可根据手与屏幕的接触面积自动调整板擦工具的大小。</w:t>
            </w:r>
          </w:p>
          <w:p w14:paraId="65429546">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▲4、整机全通道侧边栏支持将设备屏幕降低为半屏幕状态，点击上半屏幕可以返回全屏状态。</w:t>
            </w:r>
          </w:p>
          <w:p w14:paraId="61D1F4F9">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5、整机全通道侧边栏支持倒计时、正计时功能；倒计时，输入某特定时间值，可精确到秒，点击开始进入倒计时；正计时，点击开始计时便自动开始，并实时显示时间。（投标时须提供国家认可的第三方检测（检验）机构出具的带有CMA或CNAS标志的关于该功能检测（检验）报告复印件）</w:t>
            </w:r>
          </w:p>
          <w:p w14:paraId="62725B38">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6、整机全通道侧边栏支持打开日历，查看日期；整机全通道侧边栏支持聚光灯，支持聚光灯高亮区域大小调节、区域移动；整机全通道侧边栏支持冻屏，将屏幕画面进行缩放；整机安卓和外接通道下侧边栏支持设置倒数日。</w:t>
            </w:r>
          </w:p>
          <w:p w14:paraId="0681AD8B">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▲7、整机安卓和外接通道 下侧边栏支持通过扫描二维码加入班级，老师设置题型，学生回答后提交，教师查看正确率比例及详细讲解；支持随机抽选、实时弹幕；支持管理当前班级成员；支持导出学生报告。全通道下可支持通过自定义按键调出该功能。（投标时须提供国家认可的第三方检测（检验）机构出具的带有CMA或CNAS标志的关于该功能检测（检验）报告复印件）</w:t>
            </w:r>
          </w:p>
          <w:p w14:paraId="57C26E4A">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8、整机安卓和外接通道下侧边栏支持节拍器，支持设置节拍、轻重、节拍播放速度。全通道下可支持通过自定义按键调出该功能。（投标时须提供国家认可的第三方检测（检验）机构出具的带有CMA或CNAS标志的关于该功能检测（检验）报告复印件）</w:t>
            </w:r>
          </w:p>
          <w:p w14:paraId="6C9C3D21">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9、整机支持在设备上通过摄像头获取教室内图像并自动识别图像内所有人员，并随机抽选1人。</w:t>
            </w:r>
          </w:p>
          <w:p w14:paraId="4F00CD18">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▲10、整机支持在设备上通过摄像头获取教室内图像并自动识别图像内所有人员，并自动进行人数统计。</w:t>
            </w:r>
          </w:p>
          <w:p w14:paraId="6A0385BA">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11、整机支持在设备上，通过侧边栏实现调用windows系统运行、打开文件夹、打开任务管理。</w:t>
            </w:r>
          </w:p>
          <w:p w14:paraId="716AA76C">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12、整机Windows通道支持在通过侧边栏调取软键盘。</w:t>
            </w:r>
          </w:p>
          <w:p w14:paraId="051DB1C8">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13、整机Windows通道支持对当前运行中的应用进行窗口最大化、窗口最小化、应用强制关闭。</w:t>
            </w:r>
          </w:p>
          <w:p w14:paraId="258785DE">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14、整机处于非内置PC通道下，支持通过侧边栏进入PC通道。</w:t>
            </w:r>
          </w:p>
          <w:p w14:paraId="4A8B8A1B">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15、全通道快捷菜单</w:t>
            </w:r>
          </w:p>
          <w:p w14:paraId="68833449">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（1）支持快捷调节音量、亮度，支持自动亮度模式，支持点击静音按钮静音。</w:t>
            </w:r>
          </w:p>
          <w:p w14:paraId="757A85B4">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（2）应用软件可以进行切换，无需在已经开启的应用软件全屏模式下退出当前应用再选择更换。</w:t>
            </w:r>
          </w:p>
          <w:p w14:paraId="3A464AB9">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（3）支持自定义快捷菜单，支持windows应用固定，可将应用固定后，在侧边栏进行快捷打开。</w:t>
            </w:r>
          </w:p>
          <w:p w14:paraId="5F0C568E">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（4）实时查看物联设备的连接情况，点击设备图标即可调出中控菜单进行管控。</w:t>
            </w:r>
          </w:p>
          <w:p w14:paraId="6078B8B5">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（5）支持简洁模式和常规模式切换。</w:t>
            </w:r>
          </w:p>
          <w:p w14:paraId="045B5730">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（6）可进行打开批注、降半屏、主页的基础操作。</w:t>
            </w:r>
          </w:p>
          <w:p w14:paraId="245BAD27">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六、整机系统设计</w:t>
            </w:r>
          </w:p>
          <w:p w14:paraId="1A449F79">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（一）触摸系统</w:t>
            </w:r>
          </w:p>
          <w:p w14:paraId="11C8658A">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▲1、支持Windows 7、Windows 8、Windows 10、Windows11、Linux、Mac Os、UOS和麒麟系统外置电脑操作系统接入时，无需安装触摸驱动。</w:t>
            </w:r>
          </w:p>
          <w:p w14:paraId="1D7AC476">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2、触摸分辨率32768×32768。</w:t>
            </w:r>
          </w:p>
          <w:p w14:paraId="68375D8D">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3、书写触控延迟≤25ms；触摸响应≤4ms；触摸最小识别物≤3mm。</w:t>
            </w:r>
          </w:p>
          <w:p w14:paraId="4E4DD8B1">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4、整机触控书写功能集成预测算法，在书写速度≥50cm/s，支持笔迹距离笔的距离小于20mm。</w:t>
            </w:r>
          </w:p>
          <w:p w14:paraId="6039ED2E">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5、整机屏幕触摸有效识别高度不超过3mm，即触摸物体距离玻璃外表面高度不超过3mm时，触摸屏识别为点击操作。</w:t>
            </w:r>
          </w:p>
          <w:p w14:paraId="60AE2EDF">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6、整机支持提笔书写，在Windows系统下可实现无需点击任意功能入口，当检测到红外笔笔尖接触屏幕时，自动进入书写模式。</w:t>
            </w:r>
          </w:p>
          <w:p w14:paraId="37994737">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7、整机支持手笔分离，通过提笔即写唤醒批注功能后，可进行手笔分离功能，使用笔正常书写，使用手指可以操作应用，进行点击操作。</w:t>
            </w:r>
          </w:p>
          <w:p w14:paraId="6F67889F">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▲8、整机触摸支持动态压力感应，支持无任何电子功能的普通书写笔在整机上书写或点压时，整机能感应压力变化，书写或点压过程笔迹呈现不同粗细。</w:t>
            </w:r>
          </w:p>
          <w:p w14:paraId="51C541F7">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▲9、支持同一支笔，笔头、笔尾书写不同的颜色，且颜色可自定义。（投标时须提供国家认可的第三方检测（检验）机构出具的带有CMA或CNAS标志的关于该功能检测（检验）报告复印件）</w:t>
            </w:r>
          </w:p>
          <w:p w14:paraId="3B595CD0">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10、支持智能板擦功能，系统可根据触控物体的形状自动识别出实物板擦，可擦除电子白板中的内容，无需依赖外部电子设备。（投标时须提供国家认可的第三方检测（检验）机构出具的带有CMA或CNAS标志的关于该功能检测（检验）报告复印件）</w:t>
            </w:r>
          </w:p>
          <w:p w14:paraId="777AFA61">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11、触摸屏具有防遮挡功能，触摸接收器在单点或多点遮挡后仍能正常书写。</w:t>
            </w:r>
          </w:p>
          <w:p w14:paraId="66CC87D6">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12、采用红外触控技术，支持Windows系统中进行40点或以上触控，支持在Android系统中进行40点或以上触控。（投标时须提供国家认可的第三方检测（检验）机构出具的带有CMA或CNAS标志的关于该功能检测（检验）报告复印件）</w:t>
            </w:r>
          </w:p>
          <w:p w14:paraId="6BCD4096">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（二）安卓系统</w:t>
            </w:r>
          </w:p>
          <w:p w14:paraId="5E9B1BBB">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▲1、嵌入式系统版本不低于Android 13，内存≥2GB，存储空间≥8GB。（投标时须提供国家认可的第三方检测（检验）机构出具的带有CMA或CNAS标志的关于该功能检测（检验）报告复印件）</w:t>
            </w:r>
          </w:p>
          <w:p w14:paraId="2D6D456C">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2、嵌入式Android操作系统下，白板支持对已经书写的笔迹和形状和颜色进行更换。</w:t>
            </w:r>
          </w:p>
          <w:p w14:paraId="7C203A50">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3、在嵌入式系统下使用白板软件时，整机可自行调节屏幕亮度。</w:t>
            </w:r>
          </w:p>
          <w:p w14:paraId="2AB16B00">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4、嵌入式Android操作系统下，互动白板支持不同背景颜色，同时提供学科背景，如：五线谱、信纸、田字格、英文格、篮球和足球场地平面图。（投标时须提供国家认可的第三方检测（检验）机构出具的带有CMA或CNAS标志的关于该功能检测（检验）报告复印件）</w:t>
            </w:r>
          </w:p>
          <w:p w14:paraId="34BE12C2">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5、无PC状态下，嵌入式系统内置互动白板支持十笔书写及手掌擦除（手掌擦除面积根据手掌与屏幕的接触面大小自动调整），白板书写内容可以PDF、IWB和SVG格式导出。支持10种以上平面图形工具。支持8种以上立体图形工具。</w:t>
            </w:r>
          </w:p>
          <w:p w14:paraId="05CAF843">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6、无PC状态下，嵌入式系统内置互动白板支持全局漫游，并能在工具栏中对全局内容进行预览和移动。</w:t>
            </w:r>
          </w:p>
          <w:p w14:paraId="69032BC5">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7、无PC状态下，嵌入式Android 操作系统下可使用白板书写、WPS 软件和网页浏览</w:t>
            </w:r>
          </w:p>
          <w:p w14:paraId="62D916C9">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8、在嵌入式Android操作系统下，能对TV多媒体USB所读取到的文件进行自动归类，可分类查找文档、板书、图片、音视频，检索后可直接在界面中打开。</w:t>
            </w:r>
          </w:p>
          <w:p w14:paraId="32FB169A">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七、教学桌面设计</w:t>
            </w:r>
          </w:p>
          <w:p w14:paraId="4DBFACD9">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1、整机设备开机启动后，自动进入教学桌面，支持账号登录、退出，自动获取个人云端教学课件列表、并可进入全部课件列表。</w:t>
            </w:r>
          </w:p>
          <w:p w14:paraId="6D4EE024">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2、整机设备支持多种身份识别方式，支持通过账号登录、手机扫码登录，并支持账号安全登录检测。</w:t>
            </w:r>
          </w:p>
          <w:p w14:paraId="08731483">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3、整机设备支持统一互通的用户身份认证服务，账号登录后，打开教学白板软件教学应用工具时无需再次输入账号密码重复登录。</w:t>
            </w:r>
          </w:p>
          <w:p w14:paraId="48FAEDBF">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4、整机设备教学桌面支持教学白板软件和文件管理软件；教学桌面首页支持自定义桌面应用，支持展示至少8个应用入口，并提供进入本机所有应用的入口。（投标时须提供国家认可的第三方检测（检验）机构出具的带有CMA或CNAS标志的关于该功能检测（检验）报告复印件）</w:t>
            </w:r>
          </w:p>
          <w:p w14:paraId="0081B596">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5、整机设备可将应用编辑到教学桌面首页，编辑方式支持从教学桌面首页进入编辑，支持在全部应用列表中进入编辑2种方式。教学桌面首页应用支持无需进入应用编辑页面，在首页指定应用上长按进行移除。（投标时须提供国家认可的第三方检测（检验）机构出具的带有CMA或CNAS标志的关于该功能检测（检验）报告复印件）</w:t>
            </w:r>
          </w:p>
          <w:p w14:paraId="05BE6141">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6、整机设备教学桌面支持查看设备盘符，支持本地磁盘和外接U盘、移动硬盘，点击即可打开该磁盘查看磁盘文件。教学桌面支持显示存储空间状态，当存储空间即将满载时候进行红色标记明显提示。（投标时须提供国家认可的第三方检测（检验）机构出具的带有CMA或CNAS标志的关于该功能检测（检验）报告复印件）</w:t>
            </w:r>
          </w:p>
          <w:p w14:paraId="77D9BE1D">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7、整机设备教学桌面支持推荐应用，推荐应用支持移除。</w:t>
            </w:r>
          </w:p>
          <w:p w14:paraId="604B3713">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8、整机设备教学桌面支持进行应用卸载。</w:t>
            </w:r>
          </w:p>
          <w:p w14:paraId="18CFA57E">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9、整机设备教学桌面的教师登录账号后，可自动获取并在桌面显示最近使用的教学课件，点击课件可直接进入授课模式；并支持查看所有个人教学课件资源。（投标时须提供国家认可的第三方检测（检验）机构出具的带有CMA或CNAS标志的关于该功能检测（检验）报告复印件）</w:t>
            </w:r>
          </w:p>
          <w:p w14:paraId="49E2BAA7">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10、整机设备教学桌面支持进行壁纸编辑，内置10张以上壁纸，支持自定义壁纸。</w:t>
            </w:r>
          </w:p>
          <w:p w14:paraId="7552287E">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11、整机设备教学桌面支持U盘、移动硬盘外接存储设备直接在桌面显示，无需打开文件浏览器即可查看文件列表，并且支持文件打开。支持查看全部文件列表以及按照文档、图片、音视频分类方式查看文件列表。</w:t>
            </w:r>
          </w:p>
          <w:p w14:paraId="778A11B5">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12、整机设备教学桌面U盘文件查看窗口支持使用文件浏览器打开U盘。</w:t>
            </w:r>
          </w:p>
          <w:p w14:paraId="64991284">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13、整机设备教学桌面支持进行通道切换，当设备有其他输入源时，可在桌面点击信号源进行输入源切换。</w:t>
            </w:r>
          </w:p>
          <w:p w14:paraId="06F101A0">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14、整机设备教学桌面支持进行锁屏操作。</w:t>
            </w:r>
          </w:p>
          <w:p w14:paraId="59DDED56">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15、整机设备教学桌面支持进行重启、关机操作。</w:t>
            </w:r>
          </w:p>
          <w:p w14:paraId="1FF66042">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八、整机硬件和音视频系统设计</w:t>
            </w:r>
          </w:p>
          <w:p w14:paraId="2BC36860">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三合一电源按键，同一电源物理按键完成Android系统和Windows系统的开机、节能熄屏、关机操作；关机状态下按按键开机；开机状态下按按键实现节能熄屏/唤醒，长按按键实现关机。（投标时须提供国家认可的第三方检测（检验）机构出具的带有CMA或CNAS标志的关于该功能检测（检验）报告复印件）</w:t>
            </w:r>
          </w:p>
          <w:p w14:paraId="0630F30A">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▲2、整机具备至少6个前置按键，可实现开关机、调出中控菜单、音量+/-、护眼、录屏操作。（投标时须提供国家认可的第三方检测（检验）机构出具的带有CMA或CNAS标志的关于该功能检测（检验）报告复印件）</w:t>
            </w:r>
          </w:p>
          <w:p w14:paraId="1ACCC0DB">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▲3、支持经典护眼模式，可通过前置面板物理功能按键一键启用经典护眼模式。（投标时须提供国家认可的第三方检测（检验）机构出具的带有CMA或CNAS标志的关于该功能检测（检验）报告复印件）</w:t>
            </w:r>
          </w:p>
          <w:p w14:paraId="44E24D4A">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4、设备支持通过前置面板物理按键一键启动录屏功能，可将屏幕中显示的课件、音频内容与人声同时录制。（投标时须提供国家认可的第三方检测（检验）机构出具的带有CMA或CNAS标志的关于该功能检测（检验）报告复印件）</w:t>
            </w:r>
          </w:p>
          <w:p w14:paraId="0F60C55F">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5、前置 USB 接口具备防撞挡板设计，防撞挡板采用转轴式翻转。</w:t>
            </w:r>
          </w:p>
          <w:p w14:paraId="069286F3">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6、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w:t>
            </w:r>
          </w:p>
          <w:p w14:paraId="5469CEB8">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7、整机内置2.2声道扬声器，位于设备上边框，顶置朝前发声，前朝向10W高音扬声器2个，上朝向20W中低音扬声器2个，额定总功率60W。（投标时须提供国家认可的第三方检测（检验）机构出具的带有CMA或CNAS标志的关于该功能检测（检验）报告复印件）</w:t>
            </w:r>
          </w:p>
          <w:p w14:paraId="5E3834DC">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▲8、整机可选择高级音效设置，支持在左右声道平衡显示范围中进行更改；中低频段显示调节范围125Hz～1KHz，高频段显示调节范围 2KHz～16KHz，分贝显示-12dB～12dB 调节范围。（投标时须提供国家认可的第三方检测（检验）机构出具的带有CMA或CNAS标志的关于该功能检测（检验）报告复印件）</w:t>
            </w:r>
          </w:p>
          <w:p w14:paraId="402B313C">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9、整机内置非独立外扩展的4阵列麦克风，可用于对教室环境音频进行采集，麦克风拾音距离≥12米。</w:t>
            </w:r>
          </w:p>
          <w:p w14:paraId="1EB98EBB">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10、整机内置扬声器采用缝隙发声技术，喇叭采用槽式开口设计，不大于5.8mm</w:t>
            </w:r>
          </w:p>
          <w:p w14:paraId="54977DD5">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11、整机扬声器在100%音量下，可做到1米处声压级≥88db，10米处声压级≥79dB</w:t>
            </w:r>
          </w:p>
          <w:p w14:paraId="136797C0">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12、内置摄像头、麦克风无需外接线材连接，无任何可见外接线材及模块化拼接痕迹，未占用整机设备端口。</w:t>
            </w:r>
          </w:p>
          <w:p w14:paraId="3BDEA4EF">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13、支持标准、听力、观影和AI空间感知音效模式，AI空间感知音效模式可通过内置麦克风采集教室物理环境声音，自动生成符合当前教室物理环境的频段、音量、音效。</w:t>
            </w:r>
          </w:p>
          <w:p w14:paraId="71C7B22F">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14、整机内置摄像头（非外扩），PC通道下支持通过视频展台软件调用摄像头进行二维码扫码识别。</w:t>
            </w:r>
          </w:p>
          <w:p w14:paraId="45881B68">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15、具备摄像头工作指示灯，摄像头运行时，有指示灯提示。</w:t>
            </w:r>
          </w:p>
          <w:p w14:paraId="11114781">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▲16、整机上边框内置非独立摄像头，采用一体化集成设计，可拍摄≥1300万像素数的照片，可拍摄输出4K分辨率的视频。</w:t>
            </w:r>
          </w:p>
          <w:p w14:paraId="3E676DDC">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17、整机摄像头对角线视场角≥120度</w:t>
            </w:r>
          </w:p>
          <w:p w14:paraId="4D898013">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18、整机内置非独立的高清摄像头，可用于远程巡课。</w:t>
            </w:r>
          </w:p>
          <w:p w14:paraId="7AE9732B">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19、整机摄像头支持人脸识别、清点人数、随机抽人；识别所有学生，显示标记，然后随机抽选，同时显示标记不少于60人。</w:t>
            </w:r>
          </w:p>
          <w:p w14:paraId="102F439F">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▲20、整机支持通过人脸识别进行登录账号。（投标时须提供国家认可的第三方检测（检验）机构出具的带有CMA或CNAS标志的关于该功能检测（检验）报告复印件）</w:t>
            </w:r>
          </w:p>
          <w:p w14:paraId="0B817F61">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▲21、整机摄像头支持环境色温判断，根据环境调节合适的显示图像效果。（投标时须提供国家认可的第三方检测（检验）机构出具的带有CMA或CNAS标志的关于该功能检测（检验）报告复印件）</w:t>
            </w:r>
          </w:p>
          <w:p w14:paraId="61D24656">
            <w:pPr>
              <w:widowControl w:val="0"/>
              <w:spacing w:beforeLines="0" w:afterLines="0"/>
              <w:jc w:val="both"/>
              <w:rPr>
                <w:rFonts w:hint="eastAsia" w:ascii="宋体" w:hAnsi="宋体" w:cs="Times New Roman"/>
                <w:color w:val="000000"/>
                <w:sz w:val="22"/>
                <w:szCs w:val="24"/>
              </w:rPr>
            </w:pPr>
          </w:p>
          <w:p w14:paraId="0D91D3D8">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九、智能备课工具</w:t>
            </w:r>
          </w:p>
          <w:p w14:paraId="77B167F2">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1.具有课堂活动智能填写功能，支持选词填空、判断对错和趣味选择三大课堂活动。输入文本后可以一键解析，自动将文本内容结构化填充至题干和正确选项，完成课堂活动的制作。</w:t>
            </w:r>
          </w:p>
          <w:p w14:paraId="63EFE9A4">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2.软件内置的AI智能语义分析模块，可对输入的英文文本的拼写、句型、语法进行错误检查，并支持一键纠错。支持输入英文单词生成单词卡和详解页，包含单词的释义、读音、例句、词组、近义词等，可插入多个单词卡，同时支持教师自定义编辑单词释义、创建未收录的生僻单词供授课使用。可将插入的单词卡一键切换至详解页进入单词详解模式，支持教师自定义编辑单词释义、例句、词组和近义词，且提供不少于6种详解页背景模板供选择；配置英语学科听写工具，覆盖小初高不少于8000个英语单词，支持自定义选择单词。自定义听写频率和次数，一键生成听写卡；授课模式支持一键开启听写朗读。</w:t>
            </w:r>
          </w:p>
          <w:p w14:paraId="40DBA5C3">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3.支持多人同时书写，可自由调整笔迹颜色及笔触粗细，书写颜色及粗细设置面板支持浮窗模式，可自由调整至白板界面任意位置，便于教师授课使用。</w:t>
            </w:r>
          </w:p>
          <w:p w14:paraId="78901065">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4.支持中英文、数学公式的编辑输入，可快速输入方程组、脱式运算，提供不少于70个数学符号及模板；预置不少于40个常用数学公式，无需编辑一键插入，输入内容可用不同颜色标记及重复编辑；可快速生成包含一次函数一次函数、二次函数、幂函数、指数函数、对数函数、三角函数等图像，也可自定义输入函数表达式生成图像；在同一坐标轴上支持同时绘制6个及以上函数表达式，可显示函数与函数图像彼此相交、函数与坐标轴相交的交点坐标。可缩放函数图像与坐标轴，可显示坐标网格，函数图生成后可重新编辑。</w:t>
            </w:r>
          </w:p>
          <w:p w14:paraId="784E0216">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5.提供化学方程式快速编辑工具，当输入一个化学元素时，软件界面将自动显示出和该元素相关的多个常用化学反应方程式，可直接选择使用。插入后的化学方程式可重新编辑。</w:t>
            </w:r>
          </w:p>
          <w:p w14:paraId="71050FA1">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6.支持自由绘制物理线图，提供元件库和模板库不少于30个组件，支持自动吸附连接线，画布可无限漫游。绘制后的线图可一键插入到备课课件中并支持二次编辑。老师可将常用的线图保存至个人云盘方便二次调用。</w:t>
            </w:r>
          </w:p>
          <w:p w14:paraId="7172A82B">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7.提供三维立体星球模型，内含太阳系全览模型、行星模型、卫星模型，支持360°自由旋转、缩放。太阳系全览模型、行星、卫星使用模型嵌套设计，无需切换界面，可从太阳系逐层定位至卫星；提供丰富的地理教学图集，可查看行星的详细数据信息（包括名称、赤道直径、质量、自转周期、日心轨道周期、表面重力、温度等）和内部结构信息（地壳、地幔、外核、内核等），支持地球模型直接进行平面/立体转换，清晰展现地球表面的六大板块、降水分布、气温分布、气候分布、人口分布、表层洋流、陆地自然带、海平面等压线等内容，方便教学。</w:t>
            </w:r>
          </w:p>
          <w:p w14:paraId="550B2DB1">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8.采用备授课一体化框架设计，教师可根据教学场景自由切换类PPT界面的备课模式与触控交互教学模式，适用于教室、办公室等不同教学环境，便于教师教学使用。</w:t>
            </w:r>
          </w:p>
          <w:p w14:paraId="560E94B8">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9.互动课件内容的编辑修改无需人为保存即可自动同步至云空间，可根据教师需要调整云空间自动同步的时间间隔，避免教学资源的损坏、遗失。本地课件则不会自动同步到云空间以保证数据安全。编辑多份互动课件时，教师可一键将所有处于编辑状态的课件同步到互动课件云空间。</w:t>
            </w:r>
          </w:p>
          <w:p w14:paraId="30FE8D84">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▲10.云教案内容可自动同步至云空间。支持以链接方式进行定向式分享和开放式分享。接收者可直接在桌面浏览器、微信内打开预览，可将云教案转存至个人云空间。云教案支持导出为PDF格式。</w:t>
            </w:r>
          </w:p>
          <w:p w14:paraId="2E993567">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▲11.提供教案模板以供老师撰写教案，预置模板包含表格式、提纲式、集备式、多课时式、单元设计式不少于7个。支持校本模板，管理员在教研管理后台设置校本模板后，老师可在云教案模板调用。</w:t>
            </w:r>
          </w:p>
          <w:p w14:paraId="58E51D49">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12.云教案内支持插入课件页，可调用云空间中的课件列表，按单页或整份插入教案。插入后的课件可以窗口形式预览，可直接在窗口内进行翻页、元素移动、课堂活动操作、思维导图展开收起、形状工具、蒙层工具、笔工具的交互。可一键切换至全屏模式，全屏模式下支持批注和手势擦除。</w:t>
            </w:r>
          </w:p>
          <w:p w14:paraId="5DCB3B99">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▲13.支持PPT的原生解析，教师可将pptx课件转化为互动教学课件，支持单份导入和批量文件夹导入两种导入方式，保留pptx原文件中的文字、图片、表格等对象及动画的可编辑性，并可为课件增加互动教学元素。</w:t>
            </w:r>
          </w:p>
          <w:p w14:paraId="7979EBB7">
            <w:pPr>
              <w:widowControl w:val="0"/>
              <w:spacing w:beforeLines="0" w:afterLines="0"/>
              <w:jc w:val="both"/>
              <w:rPr>
                <w:rFonts w:hint="eastAsia" w:ascii="宋体" w:hAnsi="宋体" w:cs="Times New Roman"/>
                <w:color w:val="000000"/>
                <w:sz w:val="22"/>
                <w:szCs w:val="24"/>
              </w:rPr>
            </w:pPr>
          </w:p>
          <w:p w14:paraId="0485C62D">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十、教学评价软件</w:t>
            </w:r>
          </w:p>
          <w:p w14:paraId="74C6A003">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管理者通过学校数据可视化看板，查看学校云课件教案数、累计校本研修次数等情况，掌握学校教研关键数据（云课件和教案数量，校本课件、校本教案的数据），了解关键数据环比上周的的具体情况。（投标时须提供国家认可的第三方检测机构出具的关于该功能检测报告复印件）</w:t>
            </w:r>
          </w:p>
          <w:p w14:paraId="64067424">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2.通过多维度分析学校的信息化教学应用情况，综合评估出信息化指数，并与全省均值进行对比，管理者可了解信息化教学进展。</w:t>
            </w:r>
          </w:p>
          <w:p w14:paraId="2554D27B">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3.管理员可根据组织架构信息，自由选定教师发送学校通知。发送后，管理员可登录教研数字化管理平台后台实时查阅教师已读、未读情况。通知的发送、接收都可在“教研数字化管理平台”微信公众号中完成，随时随地进行通知的查阅和管理。</w:t>
            </w:r>
          </w:p>
          <w:p w14:paraId="6EEE57D9">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▲4.资源管理：支持管理员在教研数字化管理平台后台移动、删除、重命名教师上传至校本库的课件、教案、微课及多媒体等资源。其中多媒体资源类型与格式包括文档：doc,docx,pdf,ppt, pptx,xlsx,xls；图片：bmp,jpg,png,jpeg, gif；视频：mp4,webm；音频：wav,mp3,ogg。（投标时须提供国家认可的第三方检测机构出具的关于该功能检测报告复印件）</w:t>
            </w:r>
          </w:p>
          <w:p w14:paraId="383CD949">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5.支持全校听评课数据统一汇总，数据包含全校本月评课节数，本月评课次数，累计评课节数和累计评课次数，了解听评课教研活动的开展情况；支持按评课人数/评课平均分查看全校排行详细数据；支持对不同评课维度得分进行统计，计算平均分并找出评分薄弱项，同时支持查看全校的课程评价记录和得分详情、教师评价记录，并可一键导出Excel表格；支持导出课程的评课报告为PDF文件，支持批量导出课程下所有老师的评课表为Word文件。（投标时须提供国家认可的第三方检测机构出具的关于该功能检测报告复印件）</w:t>
            </w:r>
          </w:p>
          <w:p w14:paraId="4B83C8C2">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6.支持查看各年级、学科教研组的资源上传/获取数据、集备发起/研讨数据、章节备课覆盖率和备课组的数据详情。支持按本周、本月、本学期、自定义时间段查看课程资源和集体备课等数据。</w:t>
            </w:r>
          </w:p>
          <w:p w14:paraId="56DAC435">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7.全校集体备课数据统一汇总，支持按照集体备课记录和教师集备记录两个维度查看集备数据。集体备课记录数据包含集备名称、主备人、学科、年级、章节、稿数、参备老师、评论数、批注数等数据，了解集体备课活动的开展和参与情况；支持查看全部老师的集备记录，可查看和分析学校集体备课的整体情况，支持进入该老师的集备记录页面，查询其所参加的所有集备以及相关数据情况。支持导出老师个人集备数据。</w:t>
            </w:r>
          </w:p>
          <w:p w14:paraId="5E2CC778">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8.支持查看全校教案总数、教师课件总数、校本教案及校本课件总数。同时支持按本周、本月、自定义时间段查看教案、课件等制作数量的排行，查看全校教师的教案、课件、校本教案/课件/微课，进行教案、课件及校本教案/课件/微课检查，让管理者总览全校教案、课件、微课编写制作情况，支持一键导出资源统计数据表格；在数据明细中，支持按本周、本月、自定义时间查看全校教师上传校本课件、校本教案、校本微课的数据排行。</w:t>
            </w:r>
          </w:p>
          <w:p w14:paraId="410B4D81">
            <w:pPr>
              <w:widowControl w:val="0"/>
              <w:spacing w:beforeLines="0" w:afterLines="0"/>
              <w:jc w:val="both"/>
              <w:rPr>
                <w:rFonts w:hint="eastAsia" w:ascii="宋体" w:hAnsi="宋体" w:cs="Times New Roman"/>
                <w:color w:val="000000"/>
                <w:sz w:val="22"/>
                <w:szCs w:val="24"/>
              </w:rPr>
            </w:pPr>
          </w:p>
          <w:p w14:paraId="77F930B0">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十一、学生综合素质管理软件</w:t>
            </w:r>
          </w:p>
          <w:p w14:paraId="15637091">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1、支持通过数字账号、微信二维码、硬件密钥方式登录教师个人账号。</w:t>
            </w:r>
          </w:p>
          <w:p w14:paraId="60739639">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2、移动端支持教师/家长双重身份无缝切换，软件内可直接切换账户类型，无需安装多个APP应用或退出账号重新登录。</w:t>
            </w:r>
          </w:p>
          <w:p w14:paraId="598826DD">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▲3、兼容多平台系统，可在PC、Web、安卓、iOS等系统使用，且各终端数据互通，教师可多场景下对学生进行管理与评价。</w:t>
            </w:r>
          </w:p>
          <w:p w14:paraId="4CF2475C">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4、支持汇总查看校内的班级评价排名，可以列表形式查看班主任、班级学生数、家长数、班级代码等信息。</w:t>
            </w:r>
          </w:p>
          <w:p w14:paraId="1247133A">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5、支持查看校内某个班级的详细信息及学生个人表现记录，便于进行教学行为分析。</w:t>
            </w:r>
          </w:p>
          <w:p w14:paraId="2A5374CA">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6、支持创建新班级，可批量添加学生，同时支持将已有班级的学生与家长快速导入新班级。</w:t>
            </w:r>
          </w:p>
          <w:p w14:paraId="0DDED26B">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7、支持进行校级、年级学生综合素质量表快速导入，教师可将针对不同年级学段以及校级综合素质量表快速导入班级。</w:t>
            </w:r>
          </w:p>
          <w:p w14:paraId="0709C89F">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8、支持按学生或小组的首字母、总分、表扬分数、待改进分数等维度进行排序，方便老师快速找到需要评价的学生或小组。</w:t>
            </w:r>
          </w:p>
          <w:p w14:paraId="7699993E">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9、支持考勤功能，可对学生的出勤、迟到、缺勤、请假状态进行记录，并支持查看课堂考勤统计报表，可详细查看班级考勤概览数据。</w:t>
            </w:r>
          </w:p>
          <w:p w14:paraId="7D37A9CA">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10、支持网页端、PC授课端查看学生成长统计报表，按饼状图形式展现学生课堂表现情况，支持查看班级或学生个人情况，并可追溯每条评价的原因、对象、分值，便于教师进行精准评价。</w:t>
            </w:r>
          </w:p>
          <w:p w14:paraId="2A3949AF">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11、系统支持通过教师日常点评数据及专业心理测试，对学生能力进行分析，分析维度包括专注力、行为习惯、理解力、探索性、表达能力、组织能力等，并对各个能力维度进行能力解释、得分量化、潜力分析。</w:t>
            </w:r>
          </w:p>
          <w:p w14:paraId="47CF0848">
            <w:pPr>
              <w:widowControl w:val="0"/>
              <w:spacing w:beforeLines="0" w:afterLines="0"/>
              <w:jc w:val="both"/>
              <w:rPr>
                <w:rFonts w:hint="eastAsia" w:ascii="宋体" w:hAnsi="宋体" w:cs="Times New Roman"/>
                <w:color w:val="000000"/>
                <w:sz w:val="22"/>
                <w:szCs w:val="24"/>
              </w:rPr>
            </w:pPr>
          </w:p>
          <w:p w14:paraId="35387EFB">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十二、教学PPT小工具</w:t>
            </w:r>
          </w:p>
          <w:p w14:paraId="31972CA9">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1、不借助其他软件情况下，播放PPT时即可实现书写、擦除功能；可支持课件所有页面的预览、可随意进行页面跳转和实现上下翻页。</w:t>
            </w:r>
          </w:p>
          <w:p w14:paraId="1A60E663">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2、不借助其他软件情况下，播放PPT时即可支持板中板功能，直接调用板中板辅助教学，可实现批注及加页，不影响课件整体内容。</w:t>
            </w:r>
          </w:p>
          <w:p w14:paraId="6A13AE6C">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3、在无需打开除PPT以外的其他软件时，可实现新建PPT并课件及板书内容直接生成二维码分享，且扫码后支持在手持终端生成二维码进行再次分享，支持点赞。支持发送课件链接至邮箱，方便教师下载保存课件板书内容。</w:t>
            </w:r>
          </w:p>
          <w:p w14:paraId="4D57CFFA">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4、不借助其他软件情况下，播放PPT时即可调用放大镜、聚光灯小工具辅助教学。</w:t>
            </w:r>
          </w:p>
          <w:p w14:paraId="36551C6E">
            <w:pPr>
              <w:widowControl w:val="0"/>
              <w:spacing w:beforeLines="0" w:afterLines="0"/>
              <w:jc w:val="both"/>
              <w:rPr>
                <w:rFonts w:hint="eastAsia" w:ascii="宋体" w:hAnsi="宋体" w:cs="Times New Roman"/>
                <w:color w:val="000000"/>
                <w:sz w:val="22"/>
                <w:szCs w:val="24"/>
              </w:rPr>
            </w:pPr>
          </w:p>
          <w:p w14:paraId="4E1CC5ED">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十三、教学备授课软件设计</w:t>
            </w:r>
          </w:p>
          <w:p w14:paraId="264749A1">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（一）白板教学PC端应用</w:t>
            </w:r>
          </w:p>
          <w:p w14:paraId="69EDAB5F">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▲1、教学系统为全校教师提供可扩展，易于学校管理，安全可靠的云存储空间，根据每名教师使用时长与教学资料制作频率提供可扩展升级至不小于200G的个人云空间。</w:t>
            </w:r>
          </w:p>
          <w:p w14:paraId="59946E7E">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2、教学系统须为使用方全体教师配备个人账号，形成一体的信息化教学账号体系；根据教师账号信息将教师云空间匹配至对应学校、学科校本资源库。支持通过数字账号、微信二维码、硬件密钥方式登录教师个人账号。</w:t>
            </w:r>
          </w:p>
          <w:p w14:paraId="440AEE1E">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3、互动教学课件支持定向精准分享：分享者可将互动课件、课件组精准推送至指定接收方账号云空间，接收方可在云空间接收并打开分享课件。</w:t>
            </w:r>
          </w:p>
          <w:p w14:paraId="2EE2D19D">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4、上传下载一体化云存储：备课时支持将云空间中存储图片、音频、视频等素材插入课件，同时支持将课件中的图片、音频、视频等素材右键上传至云空间。互动教学课件支持开放式云分享：分享者可将互动课件、课件组以公开或加密的 web 链接和二维码形式进行分享，分享链接可设置访问有效期。</w:t>
            </w:r>
          </w:p>
          <w:p w14:paraId="039FB4D6">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5、语文工具：具备汉字生字卡，直观展示汉字部首、笔画数量，笔画书写支持分步展示和连续展示，教师可一次性生成多个汉字生字卡，同步生成数量不少于 5 个。可以调出可直接书写的田字格、四线三格，书写笔画笔顺指导功能。支持授课助手：同步教学写字的视频、朗读泛读音频、支持手机扫学生作品能够投影大屏幕、手机现场录音支持上传视听、支持连接绘本教学资源及字理教学视频播放、支持笔顺笔画的视频教学播放。</w:t>
            </w:r>
          </w:p>
          <w:p w14:paraId="7699AC93">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6、支持软件联网自动静默升级，无需用户手动更新。</w:t>
            </w:r>
          </w:p>
          <w:p w14:paraId="413DD716">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7、课件背景：提供不少于8种以上背景模板供老师选择，持自定义背景。</w:t>
            </w:r>
          </w:p>
          <w:p w14:paraId="252FB6DC">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8、互动分类游戏：支持创建互动分类游戏，可自定义不同类别及相对应的对象，实现将不同对象拖拽到对应的类别容器中可自动辨识分类，分类正确或错误均有相应提示。类别和对象的样式、数量均可以自定义设置。系统需提供不少于9种游戏模板，直接选择并输入相应内容即可轻松生成互动分类游戏，提升课堂趣味性。</w:t>
            </w:r>
          </w:p>
          <w:p w14:paraId="64CC570D">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9、智能选词填空：支持创建智能选词填空游戏，教师可随意编辑填空题题干以及相应的答案选项，将选项拖到对应题干空白处，系统将自动判别答案是否正确。系统需提供不少于 8 种游戏模板供老师选择，且模板样式支持自定义修改。</w:t>
            </w:r>
          </w:p>
          <w:p w14:paraId="3222EDF1">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▲10、智能配对游戏：支持创建配对游戏，教师可随意将知识点进行配对。当开始配对游戏时，拖动知识点进行配对，系统将自动判断是否正确。系统至少提供7种游戏模版，且模版样式支持自定义修改。</w:t>
            </w:r>
          </w:p>
          <w:p w14:paraId="373B1F73">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11、分组竞争游戏：支持创建分组竞争游戏，教师可设置正确项／干扰项，让两组学生开展竞争游戏。系统提供不少于 3 种难度、10种游戏模版选择，且模版样式支持自定义修改。</w:t>
            </w:r>
          </w:p>
          <w:p w14:paraId="2B2A0BC1">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▲12、数学公式编辑器：支持复杂数学公式输入，提供不少于 20 个数学符号及模板，输出的公式内容支持不同颜色标记及二次编辑。</w:t>
            </w:r>
          </w:p>
          <w:p w14:paraId="50F8ADDE">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13、数学画板功能：</w:t>
            </w:r>
          </w:p>
          <w:p w14:paraId="2D3195BB">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a)能在白板中插入在线画板，授课时可以一键打开,方便老师配合课件内容进行讲解。</w:t>
            </w:r>
          </w:p>
          <w:p w14:paraId="67191557">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b)提供不少于 500 个数学画板资源，覆盖小学、初中、高中学段数学学科主要知识点，并按照知识点分类，便于老师查找。</w:t>
            </w:r>
          </w:p>
          <w:p w14:paraId="690EBF62">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c)画板资源互动性强，利于老师讲解抽象知识点，如小学阶段的四边形互相转换资源，可支持点击，动态切换四边形形态；中学阶段的平方差公式资源，可支持图形展示平方差公式计算原理，并可改变数值，重复演示。</w:t>
            </w:r>
          </w:p>
          <w:p w14:paraId="5B380125">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d)老师创建个人画板，除了点、线、面等基础元素以外，画板还可提供线段中点、椭圆焦点、极坐标方程等数十种数学常用工具，保证老师日常备授课所需。创建完成后，老师可一键将画板插入白板，与课件无缝连接。</w:t>
            </w:r>
          </w:p>
          <w:p w14:paraId="46D8559C">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14、思维导图：提供思维导图、鱼骨图及组织结构图编辑功能，可轻松增删或拖拽编辑内容节点，并支持在节点上插入图片、音频、视频、网页链接、课件页面链接。支持思维导图逐级、逐个节点展开，并可任意缩放，满足不同演示需求。</w:t>
            </w:r>
          </w:p>
          <w:p w14:paraId="57DDED87">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15、表格：</w:t>
            </w:r>
          </w:p>
          <w:p w14:paraId="26AF7D6D">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a)具有表格插入功能，并提供5种以上表格样式供老师选择。</w:t>
            </w:r>
          </w:p>
          <w:p w14:paraId="156CC4C7">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b)表格能自适应，可一键将表格的行、列调整到最合适的大小。</w:t>
            </w:r>
          </w:p>
          <w:p w14:paraId="418AE456">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c)具有表格遮罩功能，可对表格中任意一格添加遮罩，在授课模式下通过点击可消除遮罩，方便老师设置互动活动。</w:t>
            </w:r>
          </w:p>
          <w:p w14:paraId="00ED2D7F">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d)在授课模式下，支持表格克隆功能，可克隆出多个相同表格，</w:t>
            </w:r>
          </w:p>
          <w:p w14:paraId="457D1ABE">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方便老师请多位同学进行答题互动。</w:t>
            </w:r>
          </w:p>
          <w:p w14:paraId="0A21A6B4">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16、图表：</w:t>
            </w:r>
          </w:p>
          <w:p w14:paraId="0A27E2EE">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a)具有图表插入功能，并提供柱状图、扇形图、折线图 3 种图表形式，且每种形式提供不少于5种样式供选择。</w:t>
            </w:r>
          </w:p>
          <w:p w14:paraId="5A37CC4A">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b)具有图表二维及三维展示形式任意切换，且三维图表支持旋转，方便多角度展示数据变化。</w:t>
            </w:r>
          </w:p>
          <w:p w14:paraId="6BDC1FCC">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c)具有图表添加超链接，可连接至课件其他页面、网页、软件自带小工具等地方。</w:t>
            </w:r>
          </w:p>
          <w:p w14:paraId="6D11E9C7">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d)在授课模式下，支持图表克隆功能，可克隆出多个相同图表，</w:t>
            </w:r>
          </w:p>
          <w:p w14:paraId="5927DBD8">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方便老师进行对比观察。</w:t>
            </w:r>
          </w:p>
          <w:p w14:paraId="354549A5">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▲17、古诗词资源：</w:t>
            </w:r>
          </w:p>
          <w:p w14:paraId="20BB76AA">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a)提供覆盖多学段的古诗词、古文资源，包含原文、翻译、背景介绍、作者介绍、朗诵音频等。</w:t>
            </w:r>
          </w:p>
          <w:p w14:paraId="177CB9E0">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b)支持用户根据年级、朝代、诗人等进行分类查找，也可直接搜索诗词、古文名称或作者名查找。</w:t>
            </w:r>
          </w:p>
          <w:p w14:paraId="5C00B0BD">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c)提供不少于9种古诗词专用背景模板，老师可贴合古诗词意境选择合适背景进行教学。</w:t>
            </w:r>
          </w:p>
          <w:p w14:paraId="02C9B97B">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d)每篇古诗词、古文均提供原文及翻译、背景介绍、作者介绍等，同时支持一键跳转打开网页，展示对应的背景或作者介绍。</w:t>
            </w:r>
          </w:p>
          <w:p w14:paraId="166AA668">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e)支持老师备课时对原文进行注释、标重点等操作，方便老师讲解重点字词。</w:t>
            </w:r>
          </w:p>
          <w:p w14:paraId="7967DD30">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f)提供原文朗读功能，全部诗词、古文均配备专业朗读配音，且支持老师在备课时对朗读音频进行打点操作，上课时可播放提前选择好的片段。</w:t>
            </w:r>
          </w:p>
          <w:p w14:paraId="14885BC7">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18、3D星球模型：提供3D立体星球模型，包括地球、太阳、火星、水星等太阳系行星，支持360°自由旋转、缩放展示；并支持在地球教学工具中，清晰展现地球表面的六大板块、降水分布、气温分布、气候分布、人口分布、表层洋流、陆地自然带、海平面等压线等内容；且支持三维、二维切换展示，方便地理学科教学。</w:t>
            </w:r>
          </w:p>
          <w:p w14:paraId="3BEBA709">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▲19、美术画板：具有美术画板工具，提供铅笔、毛笔、油画笔，可实现模拟调色盘功能，老师可自由选择不同颜色进行混合调色，搭配出任意色彩。</w:t>
            </w:r>
          </w:p>
          <w:p w14:paraId="67E5E13C">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20、美术工具：具备图形自由创作工具，教师可自由绘制复杂的任意多边图形及曲边图形；教师自主创作的图形可存储至个人云空间便于后续使用。</w:t>
            </w:r>
          </w:p>
          <w:p w14:paraId="407ED33B">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（二）白板软件移动端应用</w:t>
            </w:r>
          </w:p>
          <w:p w14:paraId="1D1CFB70">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1、课件预览保留课件对象拖拽移动、克隆复制、置顶、删除等互动功能，并可通过移动端进行思维导图、课堂互动游戏的触控交互操作，并支持显示课件备注内容。</w:t>
            </w:r>
          </w:p>
          <w:p w14:paraId="7320CC1C">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2、可在移动平台选择是否接收获取的分享课件，接收后课件储存至个人云空间，可在移动平台的互动课件列表预览。</w:t>
            </w:r>
          </w:p>
          <w:p w14:paraId="2224A69C">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3、移动平台可对云空间互动课件和课件组移动、删除和重命名，课件及课件组支持批量移动、删除。</w:t>
            </w:r>
          </w:p>
          <w:p w14:paraId="5963066F">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4、移动平台可将课件通过微信、朋友圈、云空间帐号、二维码、公开链接、加密链接等方式进行分享，分享有效期支持自定义。</w:t>
            </w:r>
          </w:p>
          <w:p w14:paraId="03525B37">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▲5、移动平台可查看教师个人云空间里所有互动课件列表，并可打开互动课件进行预览，预览时支持上下翻页、页面缩略图预览、页面跳转。</w:t>
            </w:r>
          </w:p>
          <w:p w14:paraId="22582948">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6、移动平台可以上传手机相册中的照片和视频到资料夹，且能调用系统相机拍摄照片并直接上传。教师可以在备课端选择资源插入课件。</w:t>
            </w:r>
          </w:p>
          <w:p w14:paraId="41631FE9">
            <w:pPr>
              <w:widowControl w:val="0"/>
              <w:spacing w:beforeLines="0" w:afterLines="0"/>
              <w:jc w:val="both"/>
              <w:rPr>
                <w:rFonts w:hint="eastAsia" w:ascii="宋体" w:hAnsi="宋体" w:cs="Times New Roman"/>
                <w:color w:val="000000"/>
                <w:sz w:val="22"/>
                <w:szCs w:val="24"/>
              </w:rPr>
            </w:pPr>
          </w:p>
          <w:p w14:paraId="085289D8">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十四、产品售后保障服务</w:t>
            </w:r>
          </w:p>
          <w:p w14:paraId="0AA274A0">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1、全国24小时免费400电话保修、二维码扫描保修、区域化驻地技术工程师专线保修。</w:t>
            </w:r>
          </w:p>
          <w:p w14:paraId="25700914">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2、微信售后报修服务：快速输入相关问题及所在区域进行在线保修，贴心服务人员实时在线提供客服专线报修，更好更快的解决售后故障问题带来的使用不便。</w:t>
            </w:r>
          </w:p>
          <w:p w14:paraId="451FFC41">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3、微信问题查询服务：提供八大模块的问题查询及解决方案，现场完成简单故障的快速修复指导。</w:t>
            </w:r>
          </w:p>
          <w:p w14:paraId="74421CC4">
            <w:pPr>
              <w:widowControl w:val="0"/>
              <w:spacing w:beforeLines="0" w:afterLines="0"/>
              <w:jc w:val="both"/>
              <w:rPr>
                <w:rFonts w:hint="eastAsia" w:ascii="宋体" w:hAnsi="宋体" w:cs="Times New Roman"/>
                <w:color w:val="000000"/>
                <w:sz w:val="22"/>
                <w:szCs w:val="24"/>
              </w:rPr>
            </w:pPr>
          </w:p>
          <w:p w14:paraId="0F9BD0B8">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十五、其他要求</w:t>
            </w:r>
          </w:p>
          <w:p w14:paraId="6E2C79C8">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▲1、为确保货物质量及原厂品质，中标供应商在正式供货时必须提供生产厂家针对此项目的售后服务保证原件、供货证明和技术参数确认函原件，否则采购方将不予验收通过。</w:t>
            </w:r>
          </w:p>
          <w:p w14:paraId="646AC7A0">
            <w:pPr>
              <w:widowControl w:val="0"/>
              <w:spacing w:beforeLines="0" w:afterLines="0"/>
              <w:jc w:val="both"/>
              <w:rPr>
                <w:rFonts w:hint="eastAsia" w:ascii="宋体" w:hAnsi="宋体" w:cs="Times New Roman"/>
                <w:color w:val="000000"/>
                <w:sz w:val="22"/>
                <w:szCs w:val="24"/>
                <w:lang w:val="en-US" w:eastAsia="zh-CN"/>
              </w:rPr>
            </w:pPr>
            <w:r>
              <w:rPr>
                <w:rFonts w:hint="eastAsia" w:ascii="宋体" w:hAnsi="宋体" w:cs="Times New Roman"/>
                <w:color w:val="000000"/>
                <w:sz w:val="22"/>
                <w:szCs w:val="24"/>
              </w:rPr>
              <w:t>2、打“▲”号条款为重要技术参数，投标人必须满足否则中标无效。中标公示期内若有其他投标人质疑情况下，中标单位必须提供与标书技术要求及功能符合的全部样品一套至用户处进行整体性能与标书文件核对，协助质疑答复。如出现所提供样品不符招标要求或无法提供所有样品，均视为虚假应标处理并根据招标法及标书要求追究法律责任。</w:t>
            </w:r>
          </w:p>
        </w:tc>
        <w:tc>
          <w:tcPr>
            <w:tcW w:w="612" w:type="dxa"/>
            <w:shd w:val="clear" w:color="auto" w:fill="auto"/>
            <w:vAlign w:val="center"/>
          </w:tcPr>
          <w:p w14:paraId="740FC34D">
            <w:pPr>
              <w:widowControl w:val="0"/>
              <w:spacing w:beforeLines="0" w:afterLines="0"/>
              <w:jc w:val="center"/>
              <w:rPr>
                <w:rFonts w:hint="eastAsia" w:ascii="宋体" w:hAnsi="宋体" w:cs="Times New Roman"/>
                <w:color w:val="000000"/>
                <w:sz w:val="22"/>
                <w:szCs w:val="24"/>
                <w:lang w:val="en-US" w:eastAsia="zh-CN"/>
              </w:rPr>
            </w:pPr>
            <w:r>
              <w:rPr>
                <w:rFonts w:hint="eastAsia" w:ascii="宋体" w:hAnsi="宋体" w:cs="Times New Roman"/>
                <w:color w:val="000000"/>
                <w:sz w:val="22"/>
                <w:szCs w:val="24"/>
              </w:rPr>
              <w:t>1</w:t>
            </w:r>
          </w:p>
        </w:tc>
        <w:tc>
          <w:tcPr>
            <w:tcW w:w="638" w:type="dxa"/>
            <w:shd w:val="clear" w:color="auto" w:fill="auto"/>
            <w:vAlign w:val="center"/>
          </w:tcPr>
          <w:p w14:paraId="19143723">
            <w:pPr>
              <w:widowControl w:val="0"/>
              <w:spacing w:beforeLines="0" w:afterLines="0"/>
              <w:jc w:val="center"/>
              <w:rPr>
                <w:rFonts w:hint="eastAsia" w:ascii="宋体" w:hAnsi="宋体" w:cs="Times New Roman"/>
                <w:color w:val="000000"/>
                <w:sz w:val="22"/>
                <w:szCs w:val="24"/>
                <w:lang w:val="en-US" w:eastAsia="zh-CN"/>
              </w:rPr>
            </w:pPr>
            <w:r>
              <w:rPr>
                <w:rFonts w:hint="eastAsia" w:ascii="宋体" w:hAnsi="宋体" w:cs="Times New Roman"/>
                <w:color w:val="000000"/>
                <w:sz w:val="22"/>
                <w:szCs w:val="24"/>
              </w:rPr>
              <w:t>套</w:t>
            </w:r>
          </w:p>
        </w:tc>
      </w:tr>
      <w:tr w14:paraId="39E94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shd w:val="clear" w:color="auto" w:fill="auto"/>
            <w:vAlign w:val="center"/>
          </w:tcPr>
          <w:p w14:paraId="577E90B4">
            <w:pPr>
              <w:widowControl w:val="0"/>
              <w:spacing w:beforeLines="0" w:afterLines="0"/>
              <w:jc w:val="center"/>
              <w:rPr>
                <w:rFonts w:hint="eastAsia" w:ascii="宋体" w:hAnsi="宋体" w:eastAsia="宋体"/>
                <w:color w:val="000000"/>
                <w:kern w:val="2"/>
                <w:sz w:val="22"/>
                <w:szCs w:val="24"/>
                <w:lang w:val="en-US" w:eastAsia="zh-CN"/>
              </w:rPr>
            </w:pPr>
            <w:r>
              <w:rPr>
                <w:rFonts w:hint="eastAsia" w:ascii="宋体" w:hAnsi="宋体"/>
                <w:color w:val="000000"/>
                <w:sz w:val="22"/>
                <w:szCs w:val="24"/>
              </w:rPr>
              <w:t>2</w:t>
            </w:r>
          </w:p>
        </w:tc>
        <w:tc>
          <w:tcPr>
            <w:tcW w:w="1537" w:type="dxa"/>
            <w:shd w:val="clear" w:color="auto" w:fill="auto"/>
            <w:vAlign w:val="center"/>
          </w:tcPr>
          <w:p w14:paraId="27C66365">
            <w:pPr>
              <w:widowControl w:val="0"/>
              <w:spacing w:beforeLines="0" w:afterLines="0"/>
              <w:jc w:val="center"/>
              <w:rPr>
                <w:rFonts w:hint="eastAsia" w:ascii="宋体" w:hAnsi="宋体" w:cs="Times New Roman"/>
                <w:color w:val="000000"/>
                <w:sz w:val="22"/>
                <w:szCs w:val="24"/>
                <w:lang w:val="en-US" w:eastAsia="zh-CN"/>
              </w:rPr>
            </w:pPr>
            <w:r>
              <w:rPr>
                <w:rFonts w:hint="eastAsia" w:ascii="宋体" w:hAnsi="宋体" w:cs="Times New Roman"/>
                <w:color w:val="000000"/>
                <w:sz w:val="22"/>
                <w:szCs w:val="24"/>
              </w:rPr>
              <w:t>移动支架</w:t>
            </w:r>
          </w:p>
        </w:tc>
        <w:tc>
          <w:tcPr>
            <w:tcW w:w="6313" w:type="dxa"/>
            <w:shd w:val="clear" w:color="auto" w:fill="auto"/>
            <w:vAlign w:val="center"/>
          </w:tcPr>
          <w:p w14:paraId="78E683E1">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一、移动支架通过防倾斜实验，正负10度倾斜角度下不能翻倒；</w:t>
            </w:r>
          </w:p>
          <w:p w14:paraId="6B1CDC9E">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二、承挂≥100kg，壁挂高度可调；整体高度≥1597mm；</w:t>
            </w:r>
          </w:p>
          <w:p w14:paraId="0687B603">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三、托盘承重25KG,模具设置U型置物槽，方便触摸笔、遥控器等物品放置；</w:t>
            </w:r>
          </w:p>
          <w:p w14:paraId="230C799A">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四、支撑立杆采用壁厚≥1.8mm方通冷轧钢材质，表面黑色喷涂；</w:t>
            </w:r>
          </w:p>
          <w:p w14:paraId="78323EFC">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五、脚轮为万向轮，聚氨酯（PU）材质，均带脚刹；</w:t>
            </w:r>
          </w:p>
          <w:p w14:paraId="5A9FC3CB">
            <w:pPr>
              <w:widowControl w:val="0"/>
              <w:spacing w:beforeLines="0" w:afterLines="0"/>
              <w:jc w:val="both"/>
              <w:rPr>
                <w:rFonts w:hint="eastAsia" w:ascii="宋体" w:hAnsi="宋体" w:cs="Times New Roman"/>
                <w:color w:val="000000"/>
                <w:sz w:val="22"/>
                <w:szCs w:val="24"/>
                <w:lang w:val="en-US" w:eastAsia="zh-CN"/>
              </w:rPr>
            </w:pPr>
            <w:r>
              <w:rPr>
                <w:rFonts w:hint="eastAsia" w:ascii="宋体" w:hAnsi="宋体" w:cs="Times New Roman"/>
                <w:color w:val="000000"/>
                <w:sz w:val="22"/>
                <w:szCs w:val="24"/>
              </w:rPr>
              <w:t>六、脚轮中心距横向≥1115mm，纵向≥627mm。</w:t>
            </w:r>
          </w:p>
        </w:tc>
        <w:tc>
          <w:tcPr>
            <w:tcW w:w="612" w:type="dxa"/>
            <w:shd w:val="clear" w:color="auto" w:fill="auto"/>
            <w:vAlign w:val="center"/>
          </w:tcPr>
          <w:p w14:paraId="51F286E7">
            <w:pPr>
              <w:widowControl w:val="0"/>
              <w:spacing w:beforeLines="0" w:afterLines="0"/>
              <w:jc w:val="center"/>
              <w:rPr>
                <w:rFonts w:hint="eastAsia" w:ascii="宋体" w:hAnsi="宋体" w:cs="Times New Roman"/>
                <w:color w:val="000000"/>
                <w:sz w:val="22"/>
                <w:szCs w:val="24"/>
                <w:lang w:val="en-US" w:eastAsia="zh-CN"/>
              </w:rPr>
            </w:pPr>
            <w:r>
              <w:rPr>
                <w:rFonts w:hint="eastAsia" w:ascii="宋体" w:hAnsi="宋体" w:cs="Times New Roman"/>
                <w:color w:val="000000"/>
                <w:sz w:val="22"/>
                <w:szCs w:val="24"/>
              </w:rPr>
              <w:t>1</w:t>
            </w:r>
          </w:p>
        </w:tc>
        <w:tc>
          <w:tcPr>
            <w:tcW w:w="638" w:type="dxa"/>
            <w:shd w:val="clear" w:color="auto" w:fill="auto"/>
            <w:vAlign w:val="center"/>
          </w:tcPr>
          <w:p w14:paraId="0D732EFD">
            <w:pPr>
              <w:widowControl w:val="0"/>
              <w:spacing w:beforeLines="0" w:afterLines="0"/>
              <w:jc w:val="center"/>
              <w:rPr>
                <w:rFonts w:hint="eastAsia" w:ascii="宋体" w:hAnsi="宋体" w:cs="Times New Roman"/>
                <w:color w:val="000000"/>
                <w:sz w:val="22"/>
                <w:szCs w:val="24"/>
                <w:lang w:val="en-US" w:eastAsia="zh-CN"/>
              </w:rPr>
            </w:pPr>
            <w:r>
              <w:rPr>
                <w:rFonts w:hint="eastAsia" w:ascii="宋体" w:hAnsi="宋体" w:cs="Times New Roman"/>
                <w:color w:val="000000"/>
                <w:sz w:val="22"/>
                <w:szCs w:val="24"/>
              </w:rPr>
              <w:t>个</w:t>
            </w:r>
          </w:p>
        </w:tc>
      </w:tr>
      <w:tr w14:paraId="33BD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shd w:val="clear" w:color="auto" w:fill="auto"/>
            <w:vAlign w:val="center"/>
          </w:tcPr>
          <w:p w14:paraId="5B5620C9">
            <w:pPr>
              <w:widowControl w:val="0"/>
              <w:spacing w:beforeLines="0" w:afterLines="0"/>
              <w:jc w:val="center"/>
              <w:rPr>
                <w:rFonts w:hint="eastAsia" w:ascii="宋体" w:hAnsi="宋体" w:eastAsia="宋体"/>
                <w:color w:val="000000"/>
                <w:kern w:val="2"/>
                <w:sz w:val="22"/>
                <w:szCs w:val="24"/>
                <w:lang w:val="en-US" w:eastAsia="zh-CN"/>
              </w:rPr>
            </w:pPr>
            <w:r>
              <w:rPr>
                <w:rFonts w:hint="eastAsia" w:ascii="宋体" w:hAnsi="宋体"/>
                <w:color w:val="000000"/>
                <w:sz w:val="22"/>
                <w:szCs w:val="24"/>
              </w:rPr>
              <w:t>3</w:t>
            </w:r>
          </w:p>
        </w:tc>
        <w:tc>
          <w:tcPr>
            <w:tcW w:w="1537" w:type="dxa"/>
            <w:shd w:val="clear" w:color="auto" w:fill="auto"/>
            <w:vAlign w:val="center"/>
          </w:tcPr>
          <w:p w14:paraId="2D1A75FC">
            <w:pPr>
              <w:widowControl w:val="0"/>
              <w:spacing w:beforeLines="0" w:afterLines="0"/>
              <w:jc w:val="center"/>
              <w:rPr>
                <w:rFonts w:hint="eastAsia" w:ascii="宋体" w:hAnsi="宋体" w:cs="Times New Roman"/>
                <w:color w:val="000000"/>
                <w:sz w:val="22"/>
                <w:szCs w:val="24"/>
                <w:lang w:val="en-US" w:eastAsia="zh-CN"/>
              </w:rPr>
            </w:pPr>
            <w:r>
              <w:rPr>
                <w:rFonts w:hint="eastAsia" w:ascii="宋体" w:hAnsi="宋体" w:cs="Times New Roman"/>
                <w:color w:val="000000"/>
                <w:sz w:val="22"/>
                <w:szCs w:val="24"/>
              </w:rPr>
              <w:t>团体活动教具箱团体版</w:t>
            </w:r>
          </w:p>
        </w:tc>
        <w:tc>
          <w:tcPr>
            <w:tcW w:w="6313" w:type="dxa"/>
            <w:shd w:val="clear" w:color="auto" w:fill="auto"/>
            <w:vAlign w:val="center"/>
          </w:tcPr>
          <w:p w14:paraId="260CEADD">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产品描述：</w:t>
            </w:r>
          </w:p>
          <w:p w14:paraId="096A7DE0">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团体辅导器材：包括环境适应篇、沟通交往篇、竞争合作篇、创新实践篇、自我意识篇、学习管理篇、意志责任篇、心灵成长篇等共8大主题60多种游戏，有效帮助开展各种形式的心理训练活动。团体活动训练系统中包括各种与活动内容相匹配的活动辅助器材，主要包括：</w:t>
            </w:r>
          </w:p>
          <w:p w14:paraId="418A0747">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1）教学录像：团体活动视频剪辑 1套，以光盘形式发放，以便老师能迅速掌握开展中队员团体训练；</w:t>
            </w:r>
          </w:p>
          <w:p w14:paraId="40869200">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2）活动器材：便于携带的精致工具箱（尺寸：47*31*25cm）四个;各种活动必备器材内置于活动包中。</w:t>
            </w:r>
          </w:p>
          <w:p w14:paraId="44917CD0">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3) 活动游戏配置细节：每个游戏所需道具器材均独立包装，贴标明示，方便了心理老师与学生更好更迅速进入活动状态。4）游戏卡：每个游戏都配有一个游戏说明卡，用于指导活动操作尺寸：140*105mm</w:t>
            </w:r>
          </w:p>
          <w:p w14:paraId="5D38DB93">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团体活动包A包可做活动游戏有：四两拨千金；千方百计；与你同在；走出围城；对不起，我错了；你站对了吗；夺宝奇兵；叫卖；Follw me；我第一；不抛弃，不放弃；漂流瓶；对号入座；礼物；男女搭配，干活不累；素描。</w:t>
            </w:r>
          </w:p>
          <w:p w14:paraId="03A653B3">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团体活动包B包可做活动游戏有:生命守护；心有灵犀；代价；营销术；铁锁；挚爱；鲜花绿叶；展现自我，走过来；连连看；养育之恩；彩球接力；广而告之；别人眼中的我；时光倒流；放飞心灵；分秒必争；天籁之音；冥想；魅力T台；绝境求生；你的拼图你做主。</w:t>
            </w:r>
          </w:p>
          <w:p w14:paraId="7504F734">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团体活动包C包可做活动游戏有：肢体语言；头脑风暴；舞龙；清理“主次”；我相信你们；领导范儿；无极限；双赢；分享快乐；发射甜筒；生存法则；有效沟通；黄金分割；灯塔；茫茫人海。</w:t>
            </w:r>
          </w:p>
          <w:p w14:paraId="277B347A">
            <w:pPr>
              <w:widowControl w:val="0"/>
              <w:spacing w:beforeLines="0" w:afterLines="0"/>
              <w:jc w:val="both"/>
              <w:rPr>
                <w:rFonts w:hint="eastAsia" w:ascii="宋体" w:hAnsi="宋体" w:cs="Times New Roman"/>
                <w:color w:val="000000"/>
                <w:sz w:val="22"/>
                <w:szCs w:val="24"/>
                <w:lang w:val="en-US" w:eastAsia="zh-CN"/>
              </w:rPr>
            </w:pPr>
            <w:r>
              <w:rPr>
                <w:rFonts w:hint="eastAsia" w:ascii="宋体" w:hAnsi="宋体" w:cs="Times New Roman"/>
                <w:color w:val="000000"/>
                <w:sz w:val="22"/>
                <w:szCs w:val="24"/>
              </w:rPr>
              <w:t>团体活动室外D包可做活动游戏有：找茬；松鼠“搬家”；诺亚方舟；蹚水；千里走单骑；甜甜“圈”；合力；绳之以法；与爱同行；凤凰传奇；蛇鼠一窝；小鸟“喂食”；齐眉竿；能量传输。</w:t>
            </w:r>
          </w:p>
        </w:tc>
        <w:tc>
          <w:tcPr>
            <w:tcW w:w="612" w:type="dxa"/>
            <w:shd w:val="clear" w:color="auto" w:fill="auto"/>
            <w:vAlign w:val="center"/>
          </w:tcPr>
          <w:p w14:paraId="01DB43D5">
            <w:pPr>
              <w:widowControl w:val="0"/>
              <w:spacing w:beforeLines="0" w:afterLines="0"/>
              <w:jc w:val="center"/>
              <w:rPr>
                <w:rFonts w:hint="eastAsia" w:ascii="宋体" w:hAnsi="宋体" w:cs="Times New Roman"/>
                <w:color w:val="000000"/>
                <w:sz w:val="22"/>
                <w:szCs w:val="24"/>
                <w:lang w:val="en-US" w:eastAsia="zh-CN"/>
              </w:rPr>
            </w:pPr>
            <w:r>
              <w:rPr>
                <w:rFonts w:hint="eastAsia" w:ascii="宋体" w:hAnsi="宋体" w:cs="Times New Roman"/>
                <w:color w:val="000000"/>
                <w:sz w:val="22"/>
                <w:szCs w:val="24"/>
              </w:rPr>
              <w:t>1</w:t>
            </w:r>
          </w:p>
        </w:tc>
        <w:tc>
          <w:tcPr>
            <w:tcW w:w="638" w:type="dxa"/>
            <w:shd w:val="clear" w:color="auto" w:fill="auto"/>
            <w:vAlign w:val="center"/>
          </w:tcPr>
          <w:p w14:paraId="3F434120">
            <w:pPr>
              <w:widowControl w:val="0"/>
              <w:spacing w:beforeLines="0" w:afterLines="0"/>
              <w:jc w:val="center"/>
              <w:rPr>
                <w:rFonts w:hint="eastAsia" w:ascii="宋体" w:hAnsi="宋体" w:cs="Times New Roman"/>
                <w:color w:val="000000"/>
                <w:sz w:val="22"/>
                <w:szCs w:val="24"/>
                <w:lang w:val="en-US" w:eastAsia="zh-CN"/>
              </w:rPr>
            </w:pPr>
            <w:r>
              <w:rPr>
                <w:rFonts w:hint="eastAsia" w:ascii="宋体" w:hAnsi="宋体" w:cs="Times New Roman"/>
                <w:color w:val="000000"/>
                <w:sz w:val="22"/>
                <w:szCs w:val="24"/>
              </w:rPr>
              <w:t>套</w:t>
            </w:r>
          </w:p>
        </w:tc>
      </w:tr>
      <w:tr w14:paraId="462EE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shd w:val="clear" w:color="auto" w:fill="auto"/>
            <w:vAlign w:val="center"/>
          </w:tcPr>
          <w:p w14:paraId="1ED6049B">
            <w:pPr>
              <w:widowControl w:val="0"/>
              <w:spacing w:beforeLines="0" w:afterLines="0"/>
              <w:jc w:val="center"/>
              <w:rPr>
                <w:rFonts w:hint="eastAsia" w:ascii="宋体" w:hAnsi="宋体" w:eastAsia="宋体"/>
                <w:color w:val="000000"/>
                <w:kern w:val="2"/>
                <w:sz w:val="22"/>
                <w:szCs w:val="24"/>
                <w:lang w:val="en-US" w:eastAsia="zh-CN"/>
              </w:rPr>
            </w:pPr>
            <w:r>
              <w:rPr>
                <w:rFonts w:hint="eastAsia" w:ascii="宋体" w:hAnsi="宋体"/>
                <w:color w:val="000000"/>
                <w:sz w:val="22"/>
                <w:szCs w:val="24"/>
              </w:rPr>
              <w:t>4</w:t>
            </w:r>
          </w:p>
        </w:tc>
        <w:tc>
          <w:tcPr>
            <w:tcW w:w="1537" w:type="dxa"/>
            <w:shd w:val="clear" w:color="auto" w:fill="auto"/>
            <w:vAlign w:val="center"/>
          </w:tcPr>
          <w:p w14:paraId="32A75975">
            <w:pPr>
              <w:widowControl w:val="0"/>
              <w:spacing w:beforeLines="0" w:afterLines="0"/>
              <w:jc w:val="center"/>
              <w:rPr>
                <w:rFonts w:hint="eastAsia" w:ascii="宋体" w:hAnsi="宋体" w:cs="Times New Roman"/>
                <w:color w:val="000000"/>
                <w:sz w:val="22"/>
                <w:szCs w:val="24"/>
                <w:lang w:val="en-US" w:eastAsia="zh-CN"/>
              </w:rPr>
            </w:pPr>
            <w:r>
              <w:rPr>
                <w:rFonts w:hint="eastAsia" w:ascii="宋体" w:hAnsi="宋体" w:cs="Times New Roman"/>
                <w:color w:val="000000"/>
                <w:sz w:val="22"/>
                <w:szCs w:val="24"/>
              </w:rPr>
              <w:t>立式空调</w:t>
            </w:r>
          </w:p>
        </w:tc>
        <w:tc>
          <w:tcPr>
            <w:tcW w:w="6313" w:type="dxa"/>
            <w:shd w:val="clear" w:color="auto" w:fill="auto"/>
            <w:vAlign w:val="center"/>
          </w:tcPr>
          <w:p w14:paraId="32AE3765">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能效等级：二级空调</w:t>
            </w:r>
          </w:p>
          <w:p w14:paraId="3892C3B7">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功率：3匹</w:t>
            </w:r>
          </w:p>
          <w:p w14:paraId="420B28F1">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定频/变频：变频</w:t>
            </w:r>
          </w:p>
          <w:p w14:paraId="461C17ED">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冷暖类型：冷暖型</w:t>
            </w:r>
          </w:p>
          <w:p w14:paraId="2631ECDA">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适用面积：21-30平米</w:t>
            </w:r>
          </w:p>
          <w:p w14:paraId="71D56A07">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制冷功率：2040</w:t>
            </w:r>
          </w:p>
          <w:p w14:paraId="6904FB3E">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制冷量：7290</w:t>
            </w:r>
          </w:p>
          <w:p w14:paraId="213F117D">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制热量：9800</w:t>
            </w:r>
          </w:p>
          <w:p w14:paraId="3D69EC07">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制热功率：2860</w:t>
            </w:r>
          </w:p>
          <w:p w14:paraId="3F1D6F55">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内机尺寸（宽x高x深）mm：宽510mm*高1750mm*深315mm</w:t>
            </w:r>
          </w:p>
          <w:p w14:paraId="5E3972EC">
            <w:pPr>
              <w:widowControl w:val="0"/>
              <w:spacing w:beforeLines="0" w:afterLines="0"/>
              <w:jc w:val="both"/>
              <w:rPr>
                <w:rFonts w:hint="eastAsia" w:ascii="宋体" w:hAnsi="宋体" w:cs="Times New Roman"/>
                <w:color w:val="000000"/>
                <w:sz w:val="22"/>
                <w:szCs w:val="24"/>
                <w:lang w:val="en-US" w:eastAsia="zh-CN"/>
              </w:rPr>
            </w:pPr>
            <w:r>
              <w:rPr>
                <w:rFonts w:hint="eastAsia" w:ascii="宋体" w:hAnsi="宋体" w:cs="Times New Roman"/>
                <w:color w:val="000000"/>
                <w:sz w:val="22"/>
                <w:szCs w:val="24"/>
              </w:rPr>
              <w:t>外机尺寸（宽x高x深）mm：宽940mm*高673mm*深342mm</w:t>
            </w:r>
          </w:p>
        </w:tc>
        <w:tc>
          <w:tcPr>
            <w:tcW w:w="612" w:type="dxa"/>
            <w:shd w:val="clear" w:color="auto" w:fill="auto"/>
            <w:vAlign w:val="center"/>
          </w:tcPr>
          <w:p w14:paraId="10703BF0">
            <w:pPr>
              <w:widowControl w:val="0"/>
              <w:spacing w:beforeLines="0" w:afterLines="0"/>
              <w:jc w:val="center"/>
              <w:rPr>
                <w:rFonts w:hint="default" w:ascii="宋体" w:hAnsi="宋体" w:cs="Times New Roman"/>
                <w:color w:val="000000"/>
                <w:sz w:val="22"/>
                <w:szCs w:val="24"/>
                <w:lang w:val="en-US" w:eastAsia="zh-CN"/>
              </w:rPr>
            </w:pPr>
            <w:r>
              <w:rPr>
                <w:rFonts w:hint="eastAsia" w:ascii="宋体" w:hAnsi="宋体" w:cs="Times New Roman"/>
                <w:color w:val="000000"/>
                <w:sz w:val="22"/>
                <w:szCs w:val="24"/>
                <w:lang w:val="en-US" w:eastAsia="zh-CN"/>
              </w:rPr>
              <w:t>3</w:t>
            </w:r>
          </w:p>
        </w:tc>
        <w:tc>
          <w:tcPr>
            <w:tcW w:w="638" w:type="dxa"/>
            <w:shd w:val="clear" w:color="auto" w:fill="auto"/>
            <w:vAlign w:val="center"/>
          </w:tcPr>
          <w:p w14:paraId="7EFBC029">
            <w:pPr>
              <w:widowControl w:val="0"/>
              <w:spacing w:beforeLines="0" w:afterLines="0"/>
              <w:jc w:val="center"/>
              <w:rPr>
                <w:rFonts w:hint="eastAsia" w:ascii="宋体" w:hAnsi="宋体" w:cs="Times New Roman"/>
                <w:color w:val="000000"/>
                <w:sz w:val="22"/>
                <w:szCs w:val="24"/>
                <w:lang w:val="en-US" w:eastAsia="zh-CN"/>
              </w:rPr>
            </w:pPr>
            <w:r>
              <w:rPr>
                <w:rFonts w:hint="eastAsia" w:ascii="宋体" w:hAnsi="宋体" w:cs="Times New Roman"/>
                <w:color w:val="000000"/>
                <w:sz w:val="22"/>
                <w:szCs w:val="24"/>
              </w:rPr>
              <w:t>台</w:t>
            </w:r>
          </w:p>
        </w:tc>
      </w:tr>
      <w:tr w14:paraId="7C38C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shd w:val="clear" w:color="auto" w:fill="auto"/>
            <w:vAlign w:val="center"/>
          </w:tcPr>
          <w:p w14:paraId="465F9559">
            <w:pPr>
              <w:widowControl w:val="0"/>
              <w:spacing w:beforeLines="0" w:afterLines="0"/>
              <w:jc w:val="center"/>
              <w:rPr>
                <w:rFonts w:hint="eastAsia" w:ascii="宋体" w:hAnsi="宋体" w:eastAsia="宋体"/>
                <w:color w:val="000000"/>
                <w:kern w:val="2"/>
                <w:sz w:val="22"/>
                <w:szCs w:val="24"/>
                <w:lang w:val="en-US" w:eastAsia="zh-CN"/>
              </w:rPr>
            </w:pPr>
            <w:r>
              <w:rPr>
                <w:rFonts w:hint="eastAsia" w:ascii="宋体" w:hAnsi="宋体"/>
                <w:color w:val="000000"/>
                <w:sz w:val="22"/>
                <w:szCs w:val="24"/>
              </w:rPr>
              <w:t>5</w:t>
            </w:r>
          </w:p>
        </w:tc>
        <w:tc>
          <w:tcPr>
            <w:tcW w:w="1537" w:type="dxa"/>
            <w:shd w:val="clear" w:color="auto" w:fill="auto"/>
            <w:vAlign w:val="center"/>
          </w:tcPr>
          <w:p w14:paraId="1D9ECDDE">
            <w:pPr>
              <w:widowControl w:val="0"/>
              <w:spacing w:beforeLines="0" w:afterLines="0"/>
              <w:jc w:val="center"/>
              <w:rPr>
                <w:rFonts w:hint="eastAsia" w:ascii="宋体" w:hAnsi="宋体" w:cs="Times New Roman"/>
                <w:color w:val="000000"/>
                <w:sz w:val="22"/>
                <w:szCs w:val="24"/>
                <w:lang w:val="en-US" w:eastAsia="zh-CN"/>
              </w:rPr>
            </w:pPr>
            <w:r>
              <w:rPr>
                <w:rFonts w:hint="eastAsia" w:ascii="宋体" w:hAnsi="宋体" w:cs="Times New Roman"/>
                <w:color w:val="000000"/>
                <w:sz w:val="22"/>
                <w:szCs w:val="24"/>
              </w:rPr>
              <w:t>坐垫</w:t>
            </w:r>
          </w:p>
        </w:tc>
        <w:tc>
          <w:tcPr>
            <w:tcW w:w="6313" w:type="dxa"/>
            <w:shd w:val="clear" w:color="auto" w:fill="auto"/>
            <w:vAlign w:val="center"/>
          </w:tcPr>
          <w:p w14:paraId="1BD32399">
            <w:pPr>
              <w:widowControl w:val="0"/>
              <w:spacing w:beforeLines="0" w:afterLines="0"/>
              <w:jc w:val="both"/>
              <w:rPr>
                <w:rFonts w:hint="eastAsia" w:ascii="宋体" w:hAnsi="宋体" w:cs="Times New Roman"/>
                <w:color w:val="000000"/>
                <w:sz w:val="22"/>
                <w:szCs w:val="24"/>
                <w:lang w:val="en-US" w:eastAsia="zh-CN"/>
              </w:rPr>
            </w:pPr>
            <w:r>
              <w:rPr>
                <w:rFonts w:hint="eastAsia" w:ascii="宋体" w:hAnsi="宋体" w:cs="Times New Roman"/>
                <w:color w:val="000000"/>
                <w:sz w:val="22"/>
                <w:szCs w:val="24"/>
              </w:rPr>
              <w:t>供学生团辅活动时使用。</w:t>
            </w:r>
          </w:p>
        </w:tc>
        <w:tc>
          <w:tcPr>
            <w:tcW w:w="612" w:type="dxa"/>
            <w:shd w:val="clear" w:color="auto" w:fill="auto"/>
            <w:vAlign w:val="center"/>
          </w:tcPr>
          <w:p w14:paraId="3626A428">
            <w:pPr>
              <w:widowControl w:val="0"/>
              <w:spacing w:beforeLines="0" w:afterLines="0"/>
              <w:jc w:val="center"/>
              <w:rPr>
                <w:rFonts w:hint="eastAsia" w:ascii="宋体" w:hAnsi="宋体" w:cs="Times New Roman"/>
                <w:color w:val="000000"/>
                <w:sz w:val="22"/>
                <w:szCs w:val="24"/>
                <w:lang w:val="en-US" w:eastAsia="zh-CN"/>
              </w:rPr>
            </w:pPr>
            <w:r>
              <w:rPr>
                <w:rFonts w:hint="eastAsia" w:ascii="宋体" w:hAnsi="宋体" w:cs="Times New Roman"/>
                <w:color w:val="000000"/>
                <w:sz w:val="22"/>
                <w:szCs w:val="24"/>
              </w:rPr>
              <w:t>60</w:t>
            </w:r>
          </w:p>
        </w:tc>
        <w:tc>
          <w:tcPr>
            <w:tcW w:w="638" w:type="dxa"/>
            <w:shd w:val="clear" w:color="auto" w:fill="auto"/>
            <w:vAlign w:val="center"/>
          </w:tcPr>
          <w:p w14:paraId="10F3A138">
            <w:pPr>
              <w:widowControl w:val="0"/>
              <w:spacing w:beforeLines="0" w:afterLines="0"/>
              <w:jc w:val="center"/>
              <w:rPr>
                <w:rFonts w:hint="eastAsia" w:ascii="宋体" w:hAnsi="宋体" w:cs="Times New Roman"/>
                <w:color w:val="000000"/>
                <w:sz w:val="22"/>
                <w:szCs w:val="24"/>
                <w:lang w:val="en-US" w:eastAsia="zh-CN"/>
              </w:rPr>
            </w:pPr>
            <w:r>
              <w:rPr>
                <w:rFonts w:hint="eastAsia" w:ascii="宋体" w:hAnsi="宋体" w:cs="Times New Roman"/>
                <w:color w:val="000000"/>
                <w:sz w:val="22"/>
                <w:szCs w:val="24"/>
              </w:rPr>
              <w:t>个</w:t>
            </w:r>
          </w:p>
        </w:tc>
      </w:tr>
      <w:tr w14:paraId="0058A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shd w:val="clear" w:color="auto" w:fill="auto"/>
            <w:vAlign w:val="center"/>
          </w:tcPr>
          <w:p w14:paraId="5E55B7AD">
            <w:pPr>
              <w:widowControl w:val="0"/>
              <w:spacing w:beforeLines="0" w:afterLines="0"/>
              <w:jc w:val="center"/>
              <w:rPr>
                <w:rFonts w:hint="eastAsia" w:ascii="宋体" w:hAnsi="宋体" w:eastAsia="宋体"/>
                <w:color w:val="000000"/>
                <w:kern w:val="2"/>
                <w:sz w:val="22"/>
                <w:szCs w:val="24"/>
                <w:lang w:val="en-US" w:eastAsia="zh-CN"/>
              </w:rPr>
            </w:pPr>
            <w:r>
              <w:rPr>
                <w:rFonts w:hint="eastAsia" w:ascii="宋体" w:hAnsi="宋体"/>
                <w:color w:val="000000"/>
                <w:sz w:val="22"/>
                <w:szCs w:val="24"/>
              </w:rPr>
              <w:t>7</w:t>
            </w:r>
          </w:p>
        </w:tc>
        <w:tc>
          <w:tcPr>
            <w:tcW w:w="1537" w:type="dxa"/>
            <w:shd w:val="clear" w:color="auto" w:fill="auto"/>
            <w:vAlign w:val="center"/>
          </w:tcPr>
          <w:p w14:paraId="78E75875">
            <w:pPr>
              <w:widowControl w:val="0"/>
              <w:spacing w:beforeLines="0" w:afterLines="0"/>
              <w:jc w:val="center"/>
              <w:rPr>
                <w:rFonts w:hint="eastAsia" w:ascii="宋体" w:hAnsi="宋体" w:cs="Times New Roman"/>
                <w:color w:val="000000"/>
                <w:sz w:val="22"/>
                <w:szCs w:val="24"/>
                <w:lang w:val="en-US" w:eastAsia="zh-CN"/>
              </w:rPr>
            </w:pPr>
            <w:r>
              <w:rPr>
                <w:rFonts w:hint="eastAsia" w:ascii="宋体" w:hAnsi="宋体" w:cs="Times New Roman"/>
                <w:color w:val="000000"/>
                <w:sz w:val="22"/>
                <w:szCs w:val="24"/>
              </w:rPr>
              <w:t>VR心理教学系统</w:t>
            </w:r>
          </w:p>
        </w:tc>
        <w:tc>
          <w:tcPr>
            <w:tcW w:w="6313" w:type="dxa"/>
            <w:shd w:val="clear" w:color="auto" w:fill="auto"/>
            <w:vAlign w:val="center"/>
          </w:tcPr>
          <w:p w14:paraId="792DEB41">
            <w:pPr>
              <w:widowControl w:val="0"/>
              <w:spacing w:beforeLines="0" w:afterLines="0"/>
              <w:jc w:val="both"/>
              <w:rPr>
                <w:rFonts w:hint="eastAsia" w:ascii="宋体" w:hAnsi="宋体" w:cs="Times New Roman"/>
                <w:color w:val="000000" w:themeColor="text1"/>
                <w:sz w:val="22"/>
                <w:szCs w:val="24"/>
                <w14:textFill>
                  <w14:solidFill>
                    <w14:schemeClr w14:val="tx1"/>
                  </w14:solidFill>
                </w14:textFill>
              </w:rPr>
            </w:pPr>
            <w:r>
              <w:rPr>
                <w:rFonts w:hint="eastAsia" w:ascii="宋体" w:hAnsi="宋体" w:cs="Times New Roman"/>
                <w:color w:val="000000" w:themeColor="text1"/>
                <w:sz w:val="22"/>
                <w:szCs w:val="24"/>
                <w14:textFill>
                  <w14:solidFill>
                    <w14:schemeClr w14:val="tx1"/>
                  </w14:solidFill>
                </w14:textFill>
              </w:rPr>
              <w:t>以引导式教学、情境学习理论为基础，在拓展理论知识的基础上，通过模拟演练、沉浸式互动等形式启发孩子的心智，让知识一学就懂，学以致用从而达到自我心理健康目的。</w:t>
            </w:r>
          </w:p>
          <w:p w14:paraId="37B952AC">
            <w:pPr>
              <w:widowControl w:val="0"/>
              <w:spacing w:beforeLines="0" w:afterLines="0"/>
              <w:jc w:val="both"/>
              <w:rPr>
                <w:rFonts w:hint="eastAsia" w:ascii="宋体" w:hAnsi="宋体" w:cs="Times New Roman"/>
                <w:color w:val="000000" w:themeColor="text1"/>
                <w:sz w:val="22"/>
                <w:szCs w:val="24"/>
                <w14:textFill>
                  <w14:solidFill>
                    <w14:schemeClr w14:val="tx1"/>
                  </w14:solidFill>
                </w14:textFill>
              </w:rPr>
            </w:pPr>
            <w:r>
              <w:rPr>
                <w:rFonts w:hint="eastAsia" w:ascii="宋体" w:hAnsi="宋体" w:cs="Times New Roman"/>
                <w:color w:val="000000" w:themeColor="text1"/>
                <w:sz w:val="22"/>
                <w:szCs w:val="24"/>
                <w14:textFill>
                  <w14:solidFill>
                    <w14:schemeClr w14:val="tx1"/>
                  </w14:solidFill>
                </w14:textFill>
              </w:rPr>
              <w:t>一、产品功能：</w:t>
            </w:r>
          </w:p>
          <w:p w14:paraId="36136A0A">
            <w:pPr>
              <w:widowControl w:val="0"/>
              <w:spacing w:beforeLines="0" w:afterLines="0"/>
              <w:jc w:val="both"/>
              <w:rPr>
                <w:rFonts w:hint="eastAsia" w:ascii="宋体" w:hAnsi="宋体" w:cs="Times New Roman"/>
                <w:color w:val="000000" w:themeColor="text1"/>
                <w:sz w:val="22"/>
                <w:szCs w:val="24"/>
                <w14:textFill>
                  <w14:solidFill>
                    <w14:schemeClr w14:val="tx1"/>
                  </w14:solidFill>
                </w14:textFill>
              </w:rPr>
            </w:pPr>
            <w:r>
              <w:rPr>
                <w:rFonts w:hint="eastAsia" w:ascii="宋体" w:hAnsi="宋体" w:cs="Times New Roman"/>
                <w:color w:val="000000" w:themeColor="text1"/>
                <w:sz w:val="22"/>
                <w:szCs w:val="24"/>
                <w14:textFill>
                  <w14:solidFill>
                    <w14:schemeClr w14:val="tx1"/>
                  </w14:solidFill>
                </w14:textFill>
              </w:rPr>
              <w:t>1.在系统主界面就能完整呈现教学内容的全貌。</w:t>
            </w:r>
          </w:p>
          <w:p w14:paraId="23BEFACC">
            <w:pPr>
              <w:widowControl w:val="0"/>
              <w:spacing w:beforeLines="0" w:afterLines="0"/>
              <w:jc w:val="both"/>
              <w:rPr>
                <w:rFonts w:hint="eastAsia" w:ascii="宋体" w:hAnsi="宋体" w:cs="Times New Roman"/>
                <w:color w:val="000000" w:themeColor="text1"/>
                <w:sz w:val="22"/>
                <w:szCs w:val="24"/>
                <w14:textFill>
                  <w14:solidFill>
                    <w14:schemeClr w14:val="tx1"/>
                  </w14:solidFill>
                </w14:textFill>
              </w:rPr>
            </w:pPr>
            <w:r>
              <w:rPr>
                <w:rFonts w:hint="eastAsia" w:ascii="宋体" w:hAnsi="宋体" w:cs="Times New Roman"/>
                <w:color w:val="000000" w:themeColor="text1"/>
                <w:sz w:val="22"/>
                <w:szCs w:val="24"/>
                <w14:textFill>
                  <w14:solidFill>
                    <w14:schemeClr w14:val="tx1"/>
                  </w14:solidFill>
                </w14:textFill>
              </w:rPr>
              <w:t>▲2.互动教学内容在智慧大屏上呈现，可完成点击、滑动等互动操作，并能够将对应画面及操作也同步在每台关联的VR设备中。学生无需手动操作，即可与老师进行沉浸式互动教学。</w:t>
            </w:r>
            <w:bookmarkStart w:id="0" w:name="OLE_LINK3"/>
            <w:bookmarkStart w:id="1" w:name="OLE_LINK1"/>
            <w:r>
              <w:rPr>
                <w:rFonts w:hint="eastAsia" w:ascii="宋体" w:hAnsi="宋体" w:cs="Times New Roman"/>
                <w:color w:val="000000" w:themeColor="text1"/>
                <w:sz w:val="22"/>
                <w:szCs w:val="24"/>
                <w14:textFill>
                  <w14:solidFill>
                    <w14:schemeClr w14:val="tx1"/>
                  </w14:solidFill>
                </w14:textFill>
              </w:rPr>
              <w:t>（投标时须提供国家认可的第三方检测机构出具的关于该功能检验/检测报告佐证）</w:t>
            </w:r>
          </w:p>
          <w:bookmarkEnd w:id="0"/>
          <w:bookmarkEnd w:id="1"/>
          <w:p w14:paraId="61C8D9F8">
            <w:pPr>
              <w:widowControl w:val="0"/>
              <w:spacing w:beforeLines="0" w:afterLines="0"/>
              <w:jc w:val="both"/>
              <w:rPr>
                <w:rFonts w:hint="eastAsia" w:ascii="宋体" w:hAnsi="宋体" w:cs="Times New Roman"/>
                <w:color w:val="000000" w:themeColor="text1"/>
                <w:sz w:val="22"/>
                <w:szCs w:val="24"/>
                <w14:textFill>
                  <w14:solidFill>
                    <w14:schemeClr w14:val="tx1"/>
                  </w14:solidFill>
                </w14:textFill>
              </w:rPr>
            </w:pPr>
            <w:r>
              <w:rPr>
                <w:rFonts w:hint="eastAsia" w:ascii="宋体" w:hAnsi="宋体" w:cs="Times New Roman"/>
                <w:color w:val="000000" w:themeColor="text1"/>
                <w:sz w:val="22"/>
                <w:szCs w:val="24"/>
                <w14:textFill>
                  <w14:solidFill>
                    <w14:schemeClr w14:val="tx1"/>
                  </w14:solidFill>
                </w14:textFill>
              </w:rPr>
              <w:t>▲3.可支持多台VR设备同时接入, 并可查询及管理连接状态及接入数量，进行绑定、删除等操作。（投标时须提供国家认可的第三方检测机构出具的关于该功能检验/检测报告佐证）</w:t>
            </w:r>
          </w:p>
          <w:p w14:paraId="63166032">
            <w:pPr>
              <w:widowControl w:val="0"/>
              <w:spacing w:beforeLines="0" w:afterLines="0"/>
              <w:jc w:val="both"/>
              <w:rPr>
                <w:rFonts w:hint="eastAsia" w:ascii="宋体" w:hAnsi="宋体" w:cs="Times New Roman"/>
                <w:color w:val="000000" w:themeColor="text1"/>
                <w:sz w:val="22"/>
                <w:szCs w:val="24"/>
                <w14:textFill>
                  <w14:solidFill>
                    <w14:schemeClr w14:val="tx1"/>
                  </w14:solidFill>
                </w14:textFill>
              </w:rPr>
            </w:pPr>
            <w:r>
              <w:rPr>
                <w:rFonts w:hint="eastAsia" w:ascii="宋体" w:hAnsi="宋体" w:cs="Times New Roman"/>
                <w:color w:val="000000" w:themeColor="text1"/>
                <w:sz w:val="22"/>
                <w:szCs w:val="24"/>
                <w14:textFill>
                  <w14:solidFill>
                    <w14:schemeClr w14:val="tx1"/>
                  </w14:solidFill>
                </w14:textFill>
              </w:rPr>
              <w:t>4.在智慧大屏即插即用，满足与智慧大屏的音频、视频传输以及触控传输，可并进行触控互动，也支持鼠标操控，无需额外适配工作。</w:t>
            </w:r>
          </w:p>
          <w:p w14:paraId="4DBE78A6">
            <w:pPr>
              <w:widowControl w:val="0"/>
              <w:spacing w:beforeLines="0" w:afterLines="0"/>
              <w:jc w:val="both"/>
              <w:rPr>
                <w:rFonts w:hint="eastAsia" w:ascii="宋体" w:hAnsi="宋体" w:cs="Times New Roman"/>
                <w:color w:val="000000" w:themeColor="text1"/>
                <w:sz w:val="22"/>
                <w:szCs w:val="24"/>
                <w14:textFill>
                  <w14:solidFill>
                    <w14:schemeClr w14:val="tx1"/>
                  </w14:solidFill>
                </w14:textFill>
              </w:rPr>
            </w:pPr>
            <w:r>
              <w:rPr>
                <w:rFonts w:hint="eastAsia" w:ascii="宋体" w:hAnsi="宋体" w:cs="Times New Roman"/>
                <w:color w:val="000000" w:themeColor="text1"/>
                <w:sz w:val="22"/>
                <w:szCs w:val="24"/>
                <w14:textFill>
                  <w14:solidFill>
                    <w14:schemeClr w14:val="tx1"/>
                  </w14:solidFill>
                </w14:textFill>
              </w:rPr>
              <w:t>二、产品特色：</w:t>
            </w:r>
          </w:p>
          <w:p w14:paraId="42A50FB6">
            <w:pPr>
              <w:widowControl w:val="0"/>
              <w:spacing w:beforeLines="0" w:afterLines="0"/>
              <w:jc w:val="both"/>
              <w:rPr>
                <w:rFonts w:hint="eastAsia" w:ascii="宋体" w:hAnsi="宋体" w:cs="Times New Roman"/>
                <w:color w:val="000000" w:themeColor="text1"/>
                <w:sz w:val="22"/>
                <w:szCs w:val="24"/>
                <w14:textFill>
                  <w14:solidFill>
                    <w14:schemeClr w14:val="tx1"/>
                  </w14:solidFill>
                </w14:textFill>
              </w:rPr>
            </w:pPr>
            <w:r>
              <w:rPr>
                <w:rFonts w:hint="eastAsia" w:ascii="宋体" w:hAnsi="宋体" w:cs="Times New Roman"/>
                <w:color w:val="000000" w:themeColor="text1"/>
                <w:sz w:val="22"/>
                <w:szCs w:val="24"/>
                <w14:textFill>
                  <w14:solidFill>
                    <w14:schemeClr w14:val="tx1"/>
                  </w14:solidFill>
                </w14:textFill>
              </w:rPr>
              <w:t>▲1.心理教育课程资源涵盖丰富的互动教学内容，互动内容由全景图片、模型、音视频、图像和文本素材不少于五种格式组成。（投标时须提供国家认可的第三方检测机构出具的关于该功能检验/检测报告佐证）</w:t>
            </w:r>
          </w:p>
          <w:p w14:paraId="211C093D">
            <w:pPr>
              <w:widowControl w:val="0"/>
              <w:spacing w:beforeLines="0" w:afterLines="0"/>
              <w:jc w:val="both"/>
              <w:rPr>
                <w:rFonts w:hint="eastAsia" w:ascii="宋体" w:hAnsi="宋体" w:cs="Times New Roman"/>
                <w:color w:val="000000" w:themeColor="text1"/>
                <w:sz w:val="22"/>
                <w:szCs w:val="24"/>
                <w14:textFill>
                  <w14:solidFill>
                    <w14:schemeClr w14:val="tx1"/>
                  </w14:solidFill>
                </w14:textFill>
              </w:rPr>
            </w:pPr>
            <w:r>
              <w:rPr>
                <w:rFonts w:hint="eastAsia" w:ascii="宋体" w:hAnsi="宋体" w:cs="Times New Roman"/>
                <w:color w:val="000000" w:themeColor="text1"/>
                <w:sz w:val="22"/>
                <w:szCs w:val="24"/>
                <w14:textFill>
                  <w14:solidFill>
                    <w14:schemeClr w14:val="tx1"/>
                  </w14:solidFill>
                </w14:textFill>
              </w:rPr>
              <w:t>2.互动内容支持在智慧触摸大屏端授课时，可实时同步至VR设备。</w:t>
            </w:r>
          </w:p>
          <w:p w14:paraId="03FCB86B">
            <w:pPr>
              <w:widowControl w:val="0"/>
              <w:spacing w:beforeLines="0" w:afterLines="0"/>
              <w:jc w:val="both"/>
              <w:rPr>
                <w:rFonts w:hint="eastAsia" w:ascii="宋体" w:hAnsi="宋体" w:cs="Times New Roman"/>
                <w:color w:val="000000" w:themeColor="text1"/>
                <w:sz w:val="22"/>
                <w:szCs w:val="24"/>
                <w14:textFill>
                  <w14:solidFill>
                    <w14:schemeClr w14:val="tx1"/>
                  </w14:solidFill>
                </w14:textFill>
              </w:rPr>
            </w:pPr>
            <w:r>
              <w:rPr>
                <w:rFonts w:hint="eastAsia" w:ascii="宋体" w:hAnsi="宋体" w:cs="Times New Roman"/>
                <w:color w:val="000000" w:themeColor="text1"/>
                <w:sz w:val="22"/>
                <w:szCs w:val="24"/>
                <w14:textFill>
                  <w14:solidFill>
                    <w14:schemeClr w14:val="tx1"/>
                  </w14:solidFill>
                </w14:textFill>
              </w:rPr>
              <w:t>3.互动内容支持在智慧触摸大屏端、VR端等多终端互动式操作。</w:t>
            </w:r>
          </w:p>
          <w:p w14:paraId="611FBE34">
            <w:pPr>
              <w:widowControl w:val="0"/>
              <w:spacing w:beforeLines="0" w:afterLines="0"/>
              <w:jc w:val="both"/>
              <w:rPr>
                <w:rFonts w:hint="eastAsia" w:ascii="宋体" w:hAnsi="宋体" w:cs="Times New Roman"/>
                <w:color w:val="000000" w:themeColor="text1"/>
                <w:sz w:val="22"/>
                <w:szCs w:val="24"/>
                <w14:textFill>
                  <w14:solidFill>
                    <w14:schemeClr w14:val="tx1"/>
                  </w14:solidFill>
                </w14:textFill>
              </w:rPr>
            </w:pPr>
            <w:r>
              <w:rPr>
                <w:rFonts w:hint="eastAsia" w:ascii="宋体" w:hAnsi="宋体" w:cs="Times New Roman"/>
                <w:color w:val="000000" w:themeColor="text1"/>
                <w:sz w:val="22"/>
                <w:szCs w:val="24"/>
                <w14:textFill>
                  <w14:solidFill>
                    <w14:schemeClr w14:val="tx1"/>
                  </w14:solidFill>
                </w14:textFill>
              </w:rPr>
              <w:t>4.互动内容可兼容不同厂商VR设备，且性能稳定。</w:t>
            </w:r>
          </w:p>
          <w:p w14:paraId="0BB244B0">
            <w:pPr>
              <w:widowControl w:val="0"/>
              <w:spacing w:beforeLines="0" w:afterLines="0"/>
              <w:jc w:val="both"/>
              <w:rPr>
                <w:rFonts w:hint="eastAsia" w:ascii="宋体" w:hAnsi="宋体" w:cs="Times New Roman"/>
                <w:color w:val="000000" w:themeColor="text1"/>
                <w:sz w:val="22"/>
                <w:szCs w:val="24"/>
                <w14:textFill>
                  <w14:solidFill>
                    <w14:schemeClr w14:val="tx1"/>
                  </w14:solidFill>
                </w14:textFill>
              </w:rPr>
            </w:pPr>
            <w:r>
              <w:rPr>
                <w:rFonts w:hint="eastAsia" w:ascii="宋体" w:hAnsi="宋体" w:cs="Times New Roman"/>
                <w:color w:val="000000" w:themeColor="text1"/>
                <w:sz w:val="22"/>
                <w:szCs w:val="24"/>
                <w14:textFill>
                  <w14:solidFill>
                    <w14:schemeClr w14:val="tx1"/>
                  </w14:solidFill>
                </w14:textFill>
              </w:rPr>
              <w:t>三、课程内容：</w:t>
            </w:r>
          </w:p>
          <w:p w14:paraId="3FB69FA0">
            <w:pPr>
              <w:widowControl w:val="0"/>
              <w:spacing w:beforeLines="0" w:afterLines="0"/>
              <w:jc w:val="both"/>
              <w:rPr>
                <w:rFonts w:hint="eastAsia" w:ascii="宋体" w:hAnsi="宋体" w:cs="Times New Roman"/>
                <w:color w:val="000000" w:themeColor="text1"/>
                <w:sz w:val="22"/>
                <w:szCs w:val="24"/>
                <w14:textFill>
                  <w14:solidFill>
                    <w14:schemeClr w14:val="tx1"/>
                  </w14:solidFill>
                </w14:textFill>
              </w:rPr>
            </w:pPr>
            <w:r>
              <w:rPr>
                <w:rFonts w:hint="eastAsia" w:ascii="宋体" w:hAnsi="宋体" w:cs="Times New Roman"/>
                <w:color w:val="000000" w:themeColor="text1"/>
                <w:sz w:val="22"/>
                <w:szCs w:val="24"/>
                <w14:textFill>
                  <w14:solidFill>
                    <w14:schemeClr w14:val="tx1"/>
                  </w14:solidFill>
                </w14:textFill>
              </w:rPr>
              <w:t>▲心理健康教育课程内容包含不少于5大主题，课程内容不少于40节，同时内容支持在智慧触摸大屏端授课时，可实时同步至VR设备进行互动操作。（投标时须提供国家认可的第三方检测机构出具的关于该功能检验/检测报告佐证）</w:t>
            </w:r>
          </w:p>
          <w:p w14:paraId="01D25549">
            <w:pPr>
              <w:widowControl w:val="0"/>
              <w:spacing w:beforeLines="0" w:afterLines="0"/>
              <w:jc w:val="both"/>
              <w:rPr>
                <w:rFonts w:hint="eastAsia" w:ascii="宋体" w:hAnsi="宋体" w:cs="Times New Roman"/>
                <w:color w:val="000000" w:themeColor="text1"/>
                <w:sz w:val="22"/>
                <w:szCs w:val="24"/>
                <w14:textFill>
                  <w14:solidFill>
                    <w14:schemeClr w14:val="tx1"/>
                  </w14:solidFill>
                </w14:textFill>
              </w:rPr>
            </w:pPr>
            <w:r>
              <w:rPr>
                <w:rFonts w:hint="eastAsia" w:ascii="宋体" w:hAnsi="宋体" w:cs="Times New Roman"/>
                <w:color w:val="000000" w:themeColor="text1"/>
                <w:sz w:val="22"/>
                <w:szCs w:val="24"/>
                <w14:textFill>
                  <w14:solidFill>
                    <w14:schemeClr w14:val="tx1"/>
                  </w14:solidFill>
                </w14:textFill>
              </w:rPr>
              <w:t>1、包含校园防拐骗、防性侵、防敲诈、防盗抢、邪教的危害等课程内容，旨在帮助学生熟悉拐骗的常见套路，掌握应对拐骗的技巧；了解性侵的含义，学会应对性侵的策略和方法；学会应对敲诈的策略和方法，面对敲诈时如何保护生命财产安全；学会冷静处理家中失窃、盗贼入侵的危险情况；了解邪教的危害，远离邪教等社会安全生存技能。</w:t>
            </w:r>
          </w:p>
          <w:p w14:paraId="7751B8AF">
            <w:pPr>
              <w:widowControl w:val="0"/>
              <w:spacing w:beforeLines="0" w:afterLines="0"/>
              <w:jc w:val="both"/>
              <w:rPr>
                <w:rFonts w:hint="eastAsia" w:ascii="宋体" w:hAnsi="宋体" w:cs="Times New Roman"/>
                <w:color w:val="000000" w:themeColor="text1"/>
                <w:sz w:val="22"/>
                <w:szCs w:val="24"/>
                <w14:textFill>
                  <w14:solidFill>
                    <w14:schemeClr w14:val="tx1"/>
                  </w14:solidFill>
                </w14:textFill>
              </w:rPr>
            </w:pPr>
            <w:r>
              <w:rPr>
                <w:rFonts w:hint="eastAsia" w:ascii="宋体" w:hAnsi="宋体" w:cs="Times New Roman"/>
                <w:color w:val="000000" w:themeColor="text1"/>
                <w:sz w:val="22"/>
                <w:szCs w:val="24"/>
                <w14:textFill>
                  <w14:solidFill>
                    <w14:schemeClr w14:val="tx1"/>
                  </w14:solidFill>
                </w14:textFill>
              </w:rPr>
              <w:t>2、包含垃圾分类、少儿肥胖、食品安全、防近视、远离烟酒等课程内容，旨在帮助学生掌握垃圾分类的标准，养成自觉垃圾分类的习惯；认识到少儿肥胖的原因及危害，培养起健康的生活习惯；认识食品安全的重要性，养成科学卫生的饮食习惯；了解近视的形成原理，培养科学用眼的好习惯；了解烟酒的危害，从小培养远离烟酒的健康生活习惯等。</w:t>
            </w:r>
          </w:p>
          <w:p w14:paraId="6DC08D13">
            <w:pPr>
              <w:widowControl w:val="0"/>
              <w:spacing w:beforeLines="0" w:afterLines="0"/>
              <w:jc w:val="both"/>
              <w:rPr>
                <w:rFonts w:hint="eastAsia" w:ascii="宋体" w:hAnsi="宋体" w:cs="Times New Roman"/>
                <w:color w:val="000000" w:themeColor="text1"/>
                <w:sz w:val="22"/>
                <w:szCs w:val="24"/>
                <w14:textFill>
                  <w14:solidFill>
                    <w14:schemeClr w14:val="tx1"/>
                  </w14:solidFill>
                </w14:textFill>
              </w:rPr>
            </w:pPr>
            <w:r>
              <w:rPr>
                <w:rFonts w:hint="eastAsia" w:ascii="宋体" w:hAnsi="宋体" w:cs="Times New Roman"/>
                <w:color w:val="000000" w:themeColor="text1"/>
                <w:sz w:val="22"/>
                <w:szCs w:val="24"/>
                <w14:textFill>
                  <w14:solidFill>
                    <w14:schemeClr w14:val="tx1"/>
                  </w14:solidFill>
                </w14:textFill>
              </w:rPr>
              <w:t>3、包含遵守交规、防溺水、用电安全、动物咬伤急救、特种设备安全等课程内容，旨在帮助学生了解交通规则，学习交通标志的含义；掌握溺水时的自救办法，掌握救助溺水者的科学办法；认识安全用电的常识，掌握触电的急救办法；了解狂犬病的危险性，掌握猫狗咬伤的急救处理办法；掌握特种设备的安全使用规范，以及发生事故时的紧急处理办法等。</w:t>
            </w:r>
          </w:p>
          <w:p w14:paraId="3E5A1F42">
            <w:pPr>
              <w:widowControl w:val="0"/>
              <w:spacing w:beforeLines="0" w:afterLines="0"/>
              <w:jc w:val="both"/>
              <w:rPr>
                <w:rFonts w:hint="eastAsia" w:ascii="宋体" w:hAnsi="宋体" w:cs="Times New Roman"/>
                <w:color w:val="000000" w:themeColor="text1"/>
                <w:sz w:val="22"/>
                <w:szCs w:val="24"/>
                <w14:textFill>
                  <w14:solidFill>
                    <w14:schemeClr w14:val="tx1"/>
                  </w14:solidFill>
                </w14:textFill>
              </w:rPr>
            </w:pPr>
            <w:r>
              <w:rPr>
                <w:rFonts w:hint="eastAsia" w:ascii="宋体" w:hAnsi="宋体" w:cs="Times New Roman"/>
                <w:color w:val="000000" w:themeColor="text1"/>
                <w:sz w:val="22"/>
                <w:szCs w:val="24"/>
                <w14:textFill>
                  <w14:solidFill>
                    <w14:schemeClr w14:val="tx1"/>
                  </w14:solidFill>
                </w14:textFill>
              </w:rPr>
              <w:t>4、包含防游戏沉迷、防电信诈骗、辨别网络不良信息、辨识网络谣言、预防网络犯罪等课程内容，旨在帮助学生了解沉迷游戏的危害，掌握科学防沉迷的手段，养成健康的作息习惯；了解电信诈骗的种类和套路，学会应对电信诈骗的技巧；掌握甄别不良网络信息的能力，养成健康上网的好习惯；了解网络谣言的常见种类，了解传播谣言的危害及收到的处罚，掌握识别谣言的一般技巧；了解网络犯罪的常见套路，警惕各种网络陷阱等。</w:t>
            </w:r>
          </w:p>
          <w:p w14:paraId="0026FF84">
            <w:pPr>
              <w:widowControl w:val="0"/>
              <w:spacing w:beforeLines="0" w:afterLines="0"/>
              <w:jc w:val="both"/>
              <w:rPr>
                <w:rFonts w:hint="eastAsia" w:ascii="宋体" w:hAnsi="宋体" w:cs="Times New Roman"/>
                <w:color w:val="000000" w:themeColor="text1"/>
                <w:sz w:val="22"/>
                <w:szCs w:val="24"/>
                <w14:textFill>
                  <w14:solidFill>
                    <w14:schemeClr w14:val="tx1"/>
                  </w14:solidFill>
                </w14:textFill>
              </w:rPr>
            </w:pPr>
            <w:r>
              <w:rPr>
                <w:rFonts w:hint="eastAsia" w:ascii="宋体" w:hAnsi="宋体" w:cs="Times New Roman"/>
                <w:color w:val="000000" w:themeColor="text1"/>
                <w:sz w:val="22"/>
                <w:szCs w:val="24"/>
                <w14:textFill>
                  <w14:solidFill>
                    <w14:schemeClr w14:val="tx1"/>
                  </w14:solidFill>
                </w14:textFill>
              </w:rPr>
              <w:t>5、包含地震逃生、台风预警、学会躲避雷雨天气、雾霾、洪水逃生等课程内容，旨在帮助学生了解地震的原理及危害，掌握在不同场景下突发地震时的应对措施；了解台风的原理及危害，掌握在不同场景下遭遇台风时的应对措施；了解雷雨天气的原理及危害，掌握雷雨天气的应对措施；了解雾霾的原理及危害，掌握面对雾霾的应对措施；了解地震的原理及危害，掌握在不同场景下突发地震时的应对措施等。</w:t>
            </w:r>
          </w:p>
          <w:p w14:paraId="7065FB60">
            <w:pPr>
              <w:widowControl w:val="0"/>
              <w:spacing w:beforeLines="0" w:afterLines="0"/>
              <w:jc w:val="both"/>
              <w:rPr>
                <w:rFonts w:hint="eastAsia" w:ascii="宋体" w:hAnsi="宋体" w:cs="Times New Roman"/>
                <w:color w:val="000000" w:themeColor="text1"/>
                <w:sz w:val="22"/>
                <w:szCs w:val="24"/>
                <w14:textFill>
                  <w14:solidFill>
                    <w14:schemeClr w14:val="tx1"/>
                  </w14:solidFill>
                </w14:textFill>
              </w:rPr>
            </w:pPr>
            <w:r>
              <w:rPr>
                <w:rFonts w:hint="eastAsia" w:ascii="宋体" w:hAnsi="宋体" w:cs="Times New Roman"/>
                <w:color w:val="000000" w:themeColor="text1"/>
                <w:sz w:val="22"/>
                <w:szCs w:val="24"/>
                <w14:textFill>
                  <w14:solidFill>
                    <w14:schemeClr w14:val="tx1"/>
                  </w14:solidFill>
                </w14:textFill>
              </w:rPr>
              <w:t>四、心理健康教育课件交互元素：</w:t>
            </w:r>
          </w:p>
          <w:p w14:paraId="473F9984">
            <w:pPr>
              <w:widowControl w:val="0"/>
              <w:spacing w:beforeLines="0" w:afterLines="0"/>
              <w:jc w:val="both"/>
              <w:rPr>
                <w:rFonts w:hint="eastAsia" w:ascii="宋体" w:hAnsi="宋体" w:cs="Times New Roman"/>
                <w:color w:val="000000" w:themeColor="text1"/>
                <w:sz w:val="22"/>
                <w:szCs w:val="24"/>
                <w14:textFill>
                  <w14:solidFill>
                    <w14:schemeClr w14:val="tx1"/>
                  </w14:solidFill>
                </w14:textFill>
              </w:rPr>
            </w:pPr>
            <w:r>
              <w:rPr>
                <w:rFonts w:hint="eastAsia" w:ascii="宋体" w:hAnsi="宋体" w:cs="Times New Roman"/>
                <w:color w:val="000000" w:themeColor="text1"/>
                <w:sz w:val="22"/>
                <w:szCs w:val="24"/>
                <w14:textFill>
                  <w14:solidFill>
                    <w14:schemeClr w14:val="tx1"/>
                  </w14:solidFill>
                </w14:textFill>
              </w:rPr>
              <w:t>教学系统采用先进的触控技术、计算机图形学技术、多媒体技术，方便课堂电教化教学使用。教师和学生可以在屏幕上进行点、画，身临其境般体验各种拟真情境游戏，增强教学的互动性，提高教学效果的实效性。</w:t>
            </w:r>
          </w:p>
          <w:p w14:paraId="5922573A">
            <w:pPr>
              <w:widowControl w:val="0"/>
              <w:spacing w:beforeLines="0" w:afterLines="0"/>
              <w:jc w:val="both"/>
              <w:rPr>
                <w:rFonts w:hint="eastAsia" w:ascii="宋体" w:hAnsi="宋体" w:cs="Times New Roman"/>
                <w:color w:val="000000" w:themeColor="text1"/>
                <w:sz w:val="22"/>
                <w:szCs w:val="24"/>
                <w14:textFill>
                  <w14:solidFill>
                    <w14:schemeClr w14:val="tx1"/>
                  </w14:solidFill>
                </w14:textFill>
              </w:rPr>
            </w:pPr>
            <w:r>
              <w:rPr>
                <w:rFonts w:hint="eastAsia" w:ascii="宋体" w:hAnsi="宋体" w:cs="Times New Roman"/>
                <w:color w:val="000000" w:themeColor="text1"/>
                <w:sz w:val="22"/>
                <w:szCs w:val="24"/>
                <w14:textFill>
                  <w14:solidFill>
                    <w14:schemeClr w14:val="tx1"/>
                  </w14:solidFill>
                </w14:textFill>
              </w:rPr>
              <w:t>视频：丰富的视频资源，生动展现心理健康教育课件。</w:t>
            </w:r>
          </w:p>
          <w:p w14:paraId="375FAEBD">
            <w:pPr>
              <w:widowControl w:val="0"/>
              <w:spacing w:beforeLines="0" w:afterLines="0"/>
              <w:jc w:val="both"/>
              <w:rPr>
                <w:rFonts w:hint="eastAsia" w:ascii="宋体" w:hAnsi="宋体" w:cs="Times New Roman"/>
                <w:color w:val="000000" w:themeColor="text1"/>
                <w:sz w:val="22"/>
                <w:szCs w:val="24"/>
                <w14:textFill>
                  <w14:solidFill>
                    <w14:schemeClr w14:val="tx1"/>
                  </w14:solidFill>
                </w14:textFill>
              </w:rPr>
            </w:pPr>
            <w:r>
              <w:rPr>
                <w:rFonts w:hint="eastAsia" w:ascii="宋体" w:hAnsi="宋体" w:cs="Times New Roman"/>
                <w:color w:val="000000" w:themeColor="text1"/>
                <w:sz w:val="22"/>
                <w:szCs w:val="24"/>
                <w14:textFill>
                  <w14:solidFill>
                    <w14:schemeClr w14:val="tx1"/>
                  </w14:solidFill>
                </w14:textFill>
              </w:rPr>
              <w:t>图片：高清图片拓展抽象知识点。</w:t>
            </w:r>
          </w:p>
          <w:p w14:paraId="660506B7">
            <w:pPr>
              <w:widowControl w:val="0"/>
              <w:spacing w:beforeLines="0" w:afterLines="0"/>
              <w:jc w:val="both"/>
              <w:rPr>
                <w:rFonts w:hint="eastAsia" w:ascii="宋体" w:hAnsi="宋体" w:cs="Times New Roman"/>
                <w:color w:val="000000" w:themeColor="text1"/>
                <w:sz w:val="22"/>
                <w:szCs w:val="24"/>
                <w14:textFill>
                  <w14:solidFill>
                    <w14:schemeClr w14:val="tx1"/>
                  </w14:solidFill>
                </w14:textFill>
              </w:rPr>
            </w:pPr>
            <w:r>
              <w:rPr>
                <w:rFonts w:hint="eastAsia" w:ascii="宋体" w:hAnsi="宋体" w:cs="Times New Roman"/>
                <w:color w:val="000000" w:themeColor="text1"/>
                <w:sz w:val="22"/>
                <w:szCs w:val="24"/>
                <w14:textFill>
                  <w14:solidFill>
                    <w14:schemeClr w14:val="tx1"/>
                  </w14:solidFill>
                </w14:textFill>
              </w:rPr>
              <w:t>互动游戏：根据课程内容设计的人机互动游戏，寓教于乐，学以致用。</w:t>
            </w:r>
          </w:p>
          <w:p w14:paraId="0D73B91A">
            <w:pPr>
              <w:widowControl w:val="0"/>
              <w:spacing w:beforeLines="0" w:afterLines="0"/>
              <w:jc w:val="both"/>
              <w:rPr>
                <w:rFonts w:hint="eastAsia" w:ascii="宋体" w:hAnsi="宋体" w:cs="Times New Roman"/>
                <w:color w:val="000000" w:themeColor="text1"/>
                <w:sz w:val="22"/>
                <w:szCs w:val="24"/>
                <w14:textFill>
                  <w14:solidFill>
                    <w14:schemeClr w14:val="tx1"/>
                  </w14:solidFill>
                </w14:textFill>
              </w:rPr>
            </w:pPr>
            <w:r>
              <w:rPr>
                <w:rFonts w:hint="eastAsia" w:ascii="宋体" w:hAnsi="宋体" w:cs="Times New Roman"/>
                <w:color w:val="000000" w:themeColor="text1"/>
                <w:sz w:val="22"/>
                <w:szCs w:val="24"/>
                <w14:textFill>
                  <w14:solidFill>
                    <w14:schemeClr w14:val="tx1"/>
                  </w14:solidFill>
                </w14:textFill>
              </w:rPr>
              <w:t>文字：强调安全知识点的文字内容。</w:t>
            </w:r>
          </w:p>
          <w:p w14:paraId="4B39341D">
            <w:pPr>
              <w:widowControl w:val="0"/>
              <w:spacing w:beforeLines="0" w:afterLines="0"/>
              <w:jc w:val="both"/>
              <w:rPr>
                <w:rFonts w:hint="eastAsia" w:ascii="宋体" w:hAnsi="宋体" w:cs="Times New Roman"/>
                <w:color w:val="000000" w:themeColor="text1"/>
                <w:sz w:val="22"/>
                <w:szCs w:val="24"/>
                <w14:textFill>
                  <w14:solidFill>
                    <w14:schemeClr w14:val="tx1"/>
                  </w14:solidFill>
                </w14:textFill>
              </w:rPr>
            </w:pPr>
            <w:r>
              <w:rPr>
                <w:rFonts w:hint="eastAsia" w:ascii="宋体" w:hAnsi="宋体" w:cs="Times New Roman"/>
                <w:color w:val="000000" w:themeColor="text1"/>
                <w:sz w:val="22"/>
                <w:szCs w:val="24"/>
                <w14:textFill>
                  <w14:solidFill>
                    <w14:schemeClr w14:val="tx1"/>
                  </w14:solidFill>
                </w14:textFill>
              </w:rPr>
              <w:t>拓展：在理论框架内，多种形式对教学重点的再丰富。</w:t>
            </w:r>
          </w:p>
          <w:p w14:paraId="02DE22F1">
            <w:pPr>
              <w:widowControl w:val="0"/>
              <w:spacing w:beforeLines="0" w:afterLines="0"/>
              <w:jc w:val="both"/>
              <w:rPr>
                <w:rFonts w:hint="eastAsia" w:ascii="宋体" w:hAnsi="宋体" w:cs="Times New Roman"/>
                <w:color w:val="000000" w:themeColor="text1"/>
                <w:sz w:val="22"/>
                <w:szCs w:val="24"/>
                <w14:textFill>
                  <w14:solidFill>
                    <w14:schemeClr w14:val="tx1"/>
                  </w14:solidFill>
                </w14:textFill>
              </w:rPr>
            </w:pPr>
            <w:r>
              <w:rPr>
                <w:rFonts w:hint="eastAsia" w:ascii="宋体" w:hAnsi="宋体" w:cs="Times New Roman"/>
                <w:color w:val="000000" w:themeColor="text1"/>
                <w:sz w:val="22"/>
                <w:szCs w:val="24"/>
                <w14:textFill>
                  <w14:solidFill>
                    <w14:schemeClr w14:val="tx1"/>
                  </w14:solidFill>
                </w14:textFill>
              </w:rPr>
              <w:t>语音：智能语音朗读，吐字清晰、发音标准、音色亲切动听。</w:t>
            </w:r>
          </w:p>
          <w:p w14:paraId="38014710">
            <w:pPr>
              <w:widowControl w:val="0"/>
              <w:spacing w:beforeLines="0" w:afterLines="0"/>
              <w:jc w:val="both"/>
              <w:rPr>
                <w:rFonts w:hint="eastAsia" w:ascii="宋体" w:hAnsi="宋体" w:cs="Times New Roman"/>
                <w:color w:val="000000" w:themeColor="text1"/>
                <w:sz w:val="22"/>
                <w:szCs w:val="24"/>
                <w14:textFill>
                  <w14:solidFill>
                    <w14:schemeClr w14:val="tx1"/>
                  </w14:solidFill>
                </w14:textFill>
              </w:rPr>
            </w:pPr>
            <w:r>
              <w:rPr>
                <w:rFonts w:hint="eastAsia" w:ascii="宋体" w:hAnsi="宋体" w:cs="Times New Roman"/>
                <w:color w:val="000000" w:themeColor="text1"/>
                <w:sz w:val="22"/>
                <w:szCs w:val="24"/>
                <w14:textFill>
                  <w14:solidFill>
                    <w14:schemeClr w14:val="tx1"/>
                  </w14:solidFill>
                </w14:textFill>
              </w:rPr>
              <w:t>六、产品配置：</w:t>
            </w:r>
          </w:p>
          <w:p w14:paraId="41EAB896">
            <w:pPr>
              <w:widowControl w:val="0"/>
              <w:spacing w:beforeLines="0" w:afterLines="0"/>
              <w:jc w:val="both"/>
              <w:rPr>
                <w:rFonts w:hint="eastAsia" w:ascii="宋体" w:hAnsi="宋体" w:cs="Times New Roman"/>
                <w:color w:val="000000" w:themeColor="text1"/>
                <w:sz w:val="22"/>
                <w:szCs w:val="24"/>
                <w14:textFill>
                  <w14:solidFill>
                    <w14:schemeClr w14:val="tx1"/>
                  </w14:solidFill>
                </w14:textFill>
              </w:rPr>
            </w:pPr>
            <w:r>
              <w:rPr>
                <w:rFonts w:hint="eastAsia" w:ascii="宋体" w:hAnsi="宋体" w:cs="Times New Roman"/>
                <w:color w:val="000000" w:themeColor="text1"/>
                <w:sz w:val="22"/>
                <w:szCs w:val="24"/>
                <w14:textFill>
                  <w14:solidFill>
                    <w14:schemeClr w14:val="tx1"/>
                  </w14:solidFill>
                </w14:textFill>
              </w:rPr>
              <w:t xml:space="preserve">CPU：双核Cortex-A72+四核Cortex-A53 </w:t>
            </w:r>
          </w:p>
          <w:p w14:paraId="5FB60290">
            <w:pPr>
              <w:widowControl w:val="0"/>
              <w:spacing w:beforeLines="0" w:afterLines="0"/>
              <w:jc w:val="both"/>
              <w:rPr>
                <w:rFonts w:hint="eastAsia" w:ascii="宋体" w:hAnsi="宋体" w:cs="Times New Roman"/>
                <w:color w:val="000000" w:themeColor="text1"/>
                <w:sz w:val="22"/>
                <w:szCs w:val="24"/>
                <w14:textFill>
                  <w14:solidFill>
                    <w14:schemeClr w14:val="tx1"/>
                  </w14:solidFill>
                </w14:textFill>
              </w:rPr>
            </w:pPr>
            <w:r>
              <w:rPr>
                <w:rFonts w:hint="eastAsia" w:ascii="宋体" w:hAnsi="宋体" w:cs="Times New Roman"/>
                <w:color w:val="000000" w:themeColor="text1"/>
                <w:sz w:val="22"/>
                <w:szCs w:val="24"/>
                <w14:textFill>
                  <w14:solidFill>
                    <w14:schemeClr w14:val="tx1"/>
                  </w14:solidFill>
                </w14:textFill>
              </w:rPr>
              <w:t>RAM：≥4GB</w:t>
            </w:r>
          </w:p>
          <w:p w14:paraId="317D0FD7">
            <w:pPr>
              <w:widowControl w:val="0"/>
              <w:spacing w:beforeLines="0" w:afterLines="0"/>
              <w:jc w:val="both"/>
              <w:rPr>
                <w:rFonts w:hint="eastAsia" w:ascii="宋体" w:hAnsi="宋体" w:cs="Times New Roman"/>
                <w:color w:val="000000" w:themeColor="text1"/>
                <w:sz w:val="22"/>
                <w:szCs w:val="24"/>
                <w14:textFill>
                  <w14:solidFill>
                    <w14:schemeClr w14:val="tx1"/>
                  </w14:solidFill>
                </w14:textFill>
              </w:rPr>
            </w:pPr>
            <w:r>
              <w:rPr>
                <w:rFonts w:hint="eastAsia" w:ascii="宋体" w:hAnsi="宋体" w:cs="Times New Roman"/>
                <w:color w:val="000000" w:themeColor="text1"/>
                <w:sz w:val="22"/>
                <w:szCs w:val="24"/>
                <w14:textFill>
                  <w14:solidFill>
                    <w14:schemeClr w14:val="tx1"/>
                  </w14:solidFill>
                </w14:textFill>
              </w:rPr>
              <w:t xml:space="preserve">内存：≥32GB </w:t>
            </w:r>
          </w:p>
          <w:p w14:paraId="4AC6B145">
            <w:pPr>
              <w:widowControl w:val="0"/>
              <w:spacing w:beforeLines="0" w:afterLines="0"/>
              <w:jc w:val="both"/>
              <w:rPr>
                <w:rFonts w:hint="eastAsia" w:ascii="宋体" w:hAnsi="宋体" w:cs="Times New Roman"/>
                <w:color w:val="000000" w:themeColor="text1"/>
                <w:sz w:val="22"/>
                <w:szCs w:val="24"/>
                <w14:textFill>
                  <w14:solidFill>
                    <w14:schemeClr w14:val="tx1"/>
                  </w14:solidFill>
                </w14:textFill>
              </w:rPr>
            </w:pPr>
            <w:r>
              <w:rPr>
                <w:rFonts w:hint="eastAsia" w:ascii="宋体" w:hAnsi="宋体" w:cs="Times New Roman"/>
                <w:color w:val="000000" w:themeColor="text1"/>
                <w:sz w:val="22"/>
                <w:szCs w:val="24"/>
                <w14:textFill>
                  <w14:solidFill>
                    <w14:schemeClr w14:val="tx1"/>
                  </w14:solidFill>
                </w14:textFill>
              </w:rPr>
              <w:t>WiFi：802.11a/b/g/n/2.4G</w:t>
            </w:r>
          </w:p>
          <w:p w14:paraId="0792A283">
            <w:pPr>
              <w:widowControl w:val="0"/>
              <w:spacing w:beforeLines="0" w:afterLines="0"/>
              <w:jc w:val="both"/>
              <w:rPr>
                <w:rFonts w:hint="eastAsia" w:ascii="宋体" w:hAnsi="宋体" w:cs="Times New Roman"/>
                <w:color w:val="000000" w:themeColor="text1"/>
                <w:sz w:val="22"/>
                <w:szCs w:val="24"/>
                <w14:textFill>
                  <w14:solidFill>
                    <w14:schemeClr w14:val="tx1"/>
                  </w14:solidFill>
                </w14:textFill>
              </w:rPr>
            </w:pPr>
            <w:r>
              <w:rPr>
                <w:rFonts w:hint="eastAsia" w:ascii="宋体" w:hAnsi="宋体" w:cs="Times New Roman"/>
                <w:color w:val="000000" w:themeColor="text1"/>
                <w:sz w:val="22"/>
                <w:szCs w:val="24"/>
                <w14:textFill>
                  <w14:solidFill>
                    <w14:schemeClr w14:val="tx1"/>
                  </w14:solidFill>
                </w14:textFill>
              </w:rPr>
              <w:t>蓝牙：支持</w:t>
            </w:r>
          </w:p>
          <w:p w14:paraId="6DFD389F">
            <w:pPr>
              <w:widowControl w:val="0"/>
              <w:spacing w:beforeLines="0" w:afterLines="0"/>
              <w:jc w:val="both"/>
              <w:rPr>
                <w:rFonts w:hint="eastAsia" w:ascii="宋体" w:hAnsi="宋体" w:cs="Times New Roman"/>
                <w:color w:val="000000" w:themeColor="text1"/>
                <w:sz w:val="22"/>
                <w:szCs w:val="24"/>
                <w14:textFill>
                  <w14:solidFill>
                    <w14:schemeClr w14:val="tx1"/>
                  </w14:solidFill>
                </w14:textFill>
              </w:rPr>
            </w:pPr>
            <w:r>
              <w:rPr>
                <w:rFonts w:hint="eastAsia" w:ascii="宋体" w:hAnsi="宋体" w:cs="Times New Roman"/>
                <w:color w:val="000000" w:themeColor="text1"/>
                <w:sz w:val="22"/>
                <w:szCs w:val="24"/>
                <w14:textFill>
                  <w14:solidFill>
                    <w14:schemeClr w14:val="tx1"/>
                  </w14:solidFill>
                </w14:textFill>
              </w:rPr>
              <w:t>以太网：10M/100M/1000M Ethernet</w:t>
            </w:r>
          </w:p>
          <w:p w14:paraId="1D28A62B">
            <w:pPr>
              <w:widowControl w:val="0"/>
              <w:spacing w:beforeLines="0" w:afterLines="0"/>
              <w:jc w:val="both"/>
              <w:rPr>
                <w:rFonts w:hint="eastAsia" w:ascii="宋体" w:hAnsi="宋体" w:cs="Times New Roman"/>
                <w:color w:val="000000" w:themeColor="text1"/>
                <w:sz w:val="22"/>
                <w:szCs w:val="24"/>
                <w14:textFill>
                  <w14:solidFill>
                    <w14:schemeClr w14:val="tx1"/>
                  </w14:solidFill>
                </w14:textFill>
              </w:rPr>
            </w:pPr>
            <w:r>
              <w:rPr>
                <w:rFonts w:hint="eastAsia" w:ascii="宋体" w:hAnsi="宋体" w:cs="Times New Roman"/>
                <w:color w:val="000000" w:themeColor="text1"/>
                <w:sz w:val="22"/>
                <w:szCs w:val="24"/>
                <w14:textFill>
                  <w14:solidFill>
                    <w14:schemeClr w14:val="tx1"/>
                  </w14:solidFill>
                </w14:textFill>
              </w:rPr>
              <w:t>USB接口：USB3.0*2</w:t>
            </w:r>
          </w:p>
          <w:p w14:paraId="1FE9EEBF">
            <w:pPr>
              <w:widowControl w:val="0"/>
              <w:spacing w:beforeLines="0" w:afterLines="0"/>
              <w:jc w:val="both"/>
              <w:rPr>
                <w:rFonts w:hint="eastAsia" w:ascii="宋体" w:hAnsi="宋体" w:cs="Times New Roman"/>
                <w:color w:val="000000" w:themeColor="text1"/>
                <w:sz w:val="22"/>
                <w:szCs w:val="24"/>
                <w14:textFill>
                  <w14:solidFill>
                    <w14:schemeClr w14:val="tx1"/>
                  </w14:solidFill>
                </w14:textFill>
              </w:rPr>
            </w:pPr>
            <w:r>
              <w:rPr>
                <w:rFonts w:hint="eastAsia" w:ascii="宋体" w:hAnsi="宋体" w:cs="Times New Roman"/>
                <w:color w:val="000000" w:themeColor="text1"/>
                <w:sz w:val="22"/>
                <w:szCs w:val="24"/>
                <w14:textFill>
                  <w14:solidFill>
                    <w14:schemeClr w14:val="tx1"/>
                  </w14:solidFill>
                </w14:textFill>
              </w:rPr>
              <w:t>TF卡：128GB*1</w:t>
            </w:r>
          </w:p>
          <w:p w14:paraId="635BF2E0">
            <w:pPr>
              <w:widowControl w:val="0"/>
              <w:spacing w:beforeLines="0" w:afterLines="0"/>
              <w:jc w:val="both"/>
              <w:rPr>
                <w:rFonts w:hint="eastAsia" w:ascii="宋体" w:hAnsi="宋体" w:cs="Times New Roman"/>
                <w:color w:val="000000" w:themeColor="text1"/>
                <w:sz w:val="22"/>
                <w:szCs w:val="24"/>
                <w14:textFill>
                  <w14:solidFill>
                    <w14:schemeClr w14:val="tx1"/>
                  </w14:solidFill>
                </w14:textFill>
              </w:rPr>
            </w:pPr>
            <w:r>
              <w:rPr>
                <w:rFonts w:hint="eastAsia" w:ascii="宋体" w:hAnsi="宋体" w:cs="Times New Roman"/>
                <w:color w:val="000000" w:themeColor="text1"/>
                <w:sz w:val="22"/>
                <w:szCs w:val="24"/>
                <w14:textFill>
                  <w14:solidFill>
                    <w14:schemeClr w14:val="tx1"/>
                  </w14:solidFill>
                </w14:textFill>
              </w:rPr>
              <w:t>HDMI：支持HDMI 4K 2.0输出</w:t>
            </w:r>
          </w:p>
          <w:p w14:paraId="7EAA3FEB">
            <w:pPr>
              <w:widowControl w:val="0"/>
              <w:spacing w:beforeLines="0" w:afterLines="0"/>
              <w:jc w:val="both"/>
              <w:rPr>
                <w:rFonts w:hint="eastAsia" w:ascii="宋体" w:hAnsi="宋体" w:cs="Times New Roman"/>
                <w:color w:val="000000" w:themeColor="text1"/>
                <w:sz w:val="22"/>
                <w:szCs w:val="24"/>
                <w14:textFill>
                  <w14:solidFill>
                    <w14:schemeClr w14:val="tx1"/>
                  </w14:solidFill>
                </w14:textFill>
              </w:rPr>
            </w:pPr>
            <w:r>
              <w:rPr>
                <w:rFonts w:hint="eastAsia" w:ascii="宋体" w:hAnsi="宋体" w:cs="Times New Roman"/>
                <w:color w:val="000000" w:themeColor="text1"/>
                <w:sz w:val="22"/>
                <w:szCs w:val="24"/>
                <w14:textFill>
                  <w14:solidFill>
                    <w14:schemeClr w14:val="tx1"/>
                  </w14:solidFill>
                </w14:textFill>
              </w:rPr>
              <w:t>RJ45：以太网口</w:t>
            </w:r>
          </w:p>
          <w:p w14:paraId="2690FB9A">
            <w:pPr>
              <w:widowControl w:val="0"/>
              <w:spacing w:beforeLines="0" w:afterLines="0"/>
              <w:jc w:val="both"/>
              <w:rPr>
                <w:rFonts w:hint="eastAsia" w:ascii="宋体" w:hAnsi="宋体" w:cs="Times New Roman"/>
                <w:color w:val="000000"/>
                <w:sz w:val="22"/>
                <w:szCs w:val="24"/>
                <w:lang w:val="en-US" w:eastAsia="zh-CN"/>
              </w:rPr>
            </w:pPr>
            <w:r>
              <w:rPr>
                <w:rFonts w:hint="eastAsia" w:ascii="宋体" w:hAnsi="宋体" w:cs="Times New Roman"/>
                <w:color w:val="000000" w:themeColor="text1"/>
                <w:sz w:val="22"/>
                <w:szCs w:val="24"/>
                <w14:textFill>
                  <w14:solidFill>
                    <w14:schemeClr w14:val="tx1"/>
                  </w14:solidFill>
                </w14:textFill>
              </w:rPr>
              <w:t>配件：视频信号转换线、交互操控连接线</w:t>
            </w:r>
          </w:p>
        </w:tc>
        <w:tc>
          <w:tcPr>
            <w:tcW w:w="612" w:type="dxa"/>
            <w:shd w:val="clear" w:color="auto" w:fill="auto"/>
            <w:vAlign w:val="center"/>
          </w:tcPr>
          <w:p w14:paraId="528BFAFD">
            <w:pPr>
              <w:widowControl w:val="0"/>
              <w:spacing w:beforeLines="0" w:afterLines="0"/>
              <w:jc w:val="center"/>
              <w:rPr>
                <w:rFonts w:hint="eastAsia" w:ascii="宋体" w:hAnsi="宋体" w:cs="Times New Roman"/>
                <w:color w:val="000000"/>
                <w:sz w:val="22"/>
                <w:szCs w:val="24"/>
                <w:lang w:val="en-US" w:eastAsia="zh-CN"/>
              </w:rPr>
            </w:pPr>
            <w:r>
              <w:rPr>
                <w:rFonts w:hint="eastAsia" w:ascii="宋体" w:hAnsi="宋体" w:cs="Times New Roman"/>
                <w:color w:val="000000"/>
                <w:sz w:val="22"/>
                <w:szCs w:val="24"/>
              </w:rPr>
              <w:t>1</w:t>
            </w:r>
          </w:p>
        </w:tc>
        <w:tc>
          <w:tcPr>
            <w:tcW w:w="638" w:type="dxa"/>
            <w:shd w:val="clear" w:color="auto" w:fill="auto"/>
            <w:vAlign w:val="center"/>
          </w:tcPr>
          <w:p w14:paraId="0DA626DE">
            <w:pPr>
              <w:widowControl w:val="0"/>
              <w:spacing w:beforeLines="0" w:afterLines="0"/>
              <w:jc w:val="center"/>
              <w:rPr>
                <w:rFonts w:hint="eastAsia" w:ascii="宋体" w:hAnsi="宋体" w:cs="Times New Roman"/>
                <w:color w:val="000000"/>
                <w:sz w:val="22"/>
                <w:szCs w:val="24"/>
                <w:lang w:val="en-US" w:eastAsia="zh-CN"/>
              </w:rPr>
            </w:pPr>
            <w:r>
              <w:rPr>
                <w:rFonts w:hint="eastAsia" w:ascii="宋体" w:hAnsi="宋体" w:cs="Times New Roman"/>
                <w:color w:val="000000"/>
                <w:sz w:val="22"/>
                <w:szCs w:val="24"/>
              </w:rPr>
              <w:t>套</w:t>
            </w:r>
          </w:p>
        </w:tc>
      </w:tr>
      <w:tr w14:paraId="10897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shd w:val="clear" w:color="auto" w:fill="auto"/>
            <w:vAlign w:val="center"/>
          </w:tcPr>
          <w:p w14:paraId="24118E78">
            <w:pPr>
              <w:widowControl w:val="0"/>
              <w:spacing w:beforeLines="0" w:afterLines="0"/>
              <w:jc w:val="center"/>
              <w:rPr>
                <w:rFonts w:hint="eastAsia" w:ascii="宋体" w:hAnsi="宋体" w:eastAsia="宋体"/>
                <w:color w:val="000000"/>
                <w:kern w:val="2"/>
                <w:sz w:val="22"/>
                <w:szCs w:val="24"/>
                <w:lang w:val="en-US" w:eastAsia="zh-CN"/>
              </w:rPr>
            </w:pPr>
            <w:r>
              <w:rPr>
                <w:rFonts w:hint="eastAsia" w:ascii="宋体" w:hAnsi="宋体"/>
                <w:color w:val="000000"/>
                <w:sz w:val="22"/>
                <w:szCs w:val="24"/>
              </w:rPr>
              <w:t>8</w:t>
            </w:r>
          </w:p>
        </w:tc>
        <w:tc>
          <w:tcPr>
            <w:tcW w:w="1537" w:type="dxa"/>
            <w:shd w:val="clear" w:color="auto" w:fill="auto"/>
            <w:vAlign w:val="center"/>
          </w:tcPr>
          <w:p w14:paraId="36E7127D">
            <w:pPr>
              <w:widowControl w:val="0"/>
              <w:spacing w:beforeLines="0" w:afterLines="0"/>
              <w:jc w:val="center"/>
              <w:rPr>
                <w:rFonts w:hint="eastAsia" w:ascii="宋体" w:hAnsi="宋体" w:cs="Times New Roman"/>
                <w:color w:val="000000"/>
                <w:sz w:val="22"/>
                <w:szCs w:val="24"/>
                <w:lang w:val="en-US" w:eastAsia="zh-CN"/>
              </w:rPr>
            </w:pPr>
            <w:r>
              <w:rPr>
                <w:rFonts w:hint="eastAsia" w:ascii="宋体" w:hAnsi="宋体" w:cs="Times New Roman"/>
                <w:color w:val="000000"/>
                <w:sz w:val="22"/>
                <w:szCs w:val="24"/>
              </w:rPr>
              <w:t>专业宣泄套装</w:t>
            </w:r>
          </w:p>
        </w:tc>
        <w:tc>
          <w:tcPr>
            <w:tcW w:w="6313" w:type="dxa"/>
            <w:shd w:val="clear" w:color="auto" w:fill="auto"/>
            <w:vAlign w:val="center"/>
          </w:tcPr>
          <w:p w14:paraId="31EFA28B">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全硅胶宣泄人1个，宣泄柱1个，立式宣泄球2个</w:t>
            </w:r>
          </w:p>
          <w:p w14:paraId="1EC5F4F9">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一、全硅胶宣泄人产品描述：</w:t>
            </w:r>
          </w:p>
          <w:p w14:paraId="552418C2">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全硅胶宣泄人1个：身高：&gt;=175CM，高度可以调整，可击打身高：98cm</w:t>
            </w:r>
          </w:p>
          <w:p w14:paraId="15396854">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产品技术参数：</w:t>
            </w:r>
          </w:p>
          <w:p w14:paraId="67589F8C">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1、产品设计：硅胶合成材料制作，持久、耐用、实心、手感好，如同真人感觉，让人感觉有如真人宣泄的体验。可以从任意角度来击打发泄</w:t>
            </w:r>
          </w:p>
          <w:p w14:paraId="074FAD30">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2、特点：硅橡胶系列产品，采用一次成型的橡胶传统工艺，硅橡胶厚度达3mm以上，坚固耐用，使用寿命是普通皮类沙包的10倍以上</w:t>
            </w:r>
          </w:p>
          <w:p w14:paraId="35AE8A70">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3、宣泄人材料：全硅胶材质</w:t>
            </w:r>
          </w:p>
          <w:p w14:paraId="727F0A38">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4、底座：底座和注水可灌沙，底部设计为橡胶吸盘，都是为了更好的稳定宣泄人主体</w:t>
            </w:r>
          </w:p>
          <w:p w14:paraId="6EE54E57">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5、宣泄棒2根：长750mm，直径7mm，一体成型，高分子缓冲材料，高弹力装饰布套</w:t>
            </w:r>
          </w:p>
          <w:p w14:paraId="73C0A024">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6、主体重28KG，底座重6KG(加水加沙重130KG以上)</w:t>
            </w:r>
          </w:p>
          <w:p w14:paraId="45CDC0A1">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二、宣泄柱产品描述：</w:t>
            </w:r>
          </w:p>
          <w:p w14:paraId="4D383FB0">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1、总高度：160cm</w:t>
            </w:r>
          </w:p>
          <w:p w14:paraId="04E2423C">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2、主体高度：90cm</w:t>
            </w:r>
          </w:p>
          <w:p w14:paraId="323CF38F">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3、主体直径：30cm</w:t>
            </w:r>
          </w:p>
          <w:p w14:paraId="37DCF1B1">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4、底座高度：60cm</w:t>
            </w:r>
          </w:p>
          <w:p w14:paraId="3E42DBD7">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5、底座直径：50cm</w:t>
            </w:r>
          </w:p>
          <w:p w14:paraId="169A606B">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6、主体面料：PU</w:t>
            </w:r>
          </w:p>
          <w:p w14:paraId="576E6897">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7、 填充物：环保高弹性发泡料,海绵，反弹胶</w:t>
            </w:r>
          </w:p>
          <w:p w14:paraId="06FD38B8">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三、立式宣泄球产品描述：</w:t>
            </w:r>
          </w:p>
          <w:p w14:paraId="43334FCC">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1、用途：主要用于减压、宣泄\发泄，将烦恼统统“击”走，放松心情</w:t>
            </w:r>
          </w:p>
          <w:p w14:paraId="49546489">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2、高度：120cm－150cm，高度可调节</w:t>
            </w:r>
          </w:p>
          <w:p w14:paraId="14550CF7">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3、球直径：33CM</w:t>
            </w:r>
          </w:p>
          <w:p w14:paraId="0AD2C7BC">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4、底座直径：43CM</w:t>
            </w:r>
          </w:p>
          <w:p w14:paraId="4650F8BD">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5、高：12CM</w:t>
            </w:r>
          </w:p>
          <w:p w14:paraId="45EE76C9">
            <w:pPr>
              <w:widowControl w:val="0"/>
              <w:spacing w:beforeLines="0" w:afterLines="0"/>
              <w:jc w:val="both"/>
              <w:rPr>
                <w:rFonts w:hint="eastAsia" w:ascii="宋体" w:hAnsi="宋体" w:cs="Times New Roman"/>
                <w:color w:val="000000"/>
                <w:sz w:val="22"/>
                <w:szCs w:val="24"/>
                <w:lang w:val="en-US" w:eastAsia="zh-CN"/>
              </w:rPr>
            </w:pPr>
            <w:r>
              <w:rPr>
                <w:rFonts w:hint="eastAsia" w:ascii="宋体" w:hAnsi="宋体" w:cs="Times New Roman"/>
                <w:color w:val="000000"/>
                <w:sz w:val="22"/>
                <w:szCs w:val="24"/>
              </w:rPr>
              <w:t>6、重量：约3KG</w:t>
            </w:r>
          </w:p>
        </w:tc>
        <w:tc>
          <w:tcPr>
            <w:tcW w:w="612" w:type="dxa"/>
            <w:shd w:val="clear" w:color="auto" w:fill="auto"/>
            <w:vAlign w:val="center"/>
          </w:tcPr>
          <w:p w14:paraId="512FD9C6">
            <w:pPr>
              <w:widowControl w:val="0"/>
              <w:spacing w:beforeLines="0" w:afterLines="0"/>
              <w:jc w:val="center"/>
              <w:rPr>
                <w:rFonts w:hint="eastAsia" w:ascii="宋体" w:hAnsi="宋体" w:cs="Times New Roman"/>
                <w:color w:val="000000"/>
                <w:sz w:val="22"/>
                <w:szCs w:val="24"/>
                <w:lang w:val="en-US" w:eastAsia="zh-CN"/>
              </w:rPr>
            </w:pPr>
            <w:r>
              <w:rPr>
                <w:rFonts w:hint="eastAsia" w:ascii="宋体" w:hAnsi="宋体" w:cs="Times New Roman"/>
                <w:color w:val="000000"/>
                <w:sz w:val="22"/>
                <w:szCs w:val="24"/>
              </w:rPr>
              <w:t>1</w:t>
            </w:r>
          </w:p>
        </w:tc>
        <w:tc>
          <w:tcPr>
            <w:tcW w:w="638" w:type="dxa"/>
            <w:shd w:val="clear" w:color="auto" w:fill="auto"/>
            <w:vAlign w:val="center"/>
          </w:tcPr>
          <w:p w14:paraId="123394BC">
            <w:pPr>
              <w:widowControl w:val="0"/>
              <w:spacing w:beforeLines="0" w:afterLines="0"/>
              <w:jc w:val="center"/>
              <w:rPr>
                <w:rFonts w:hint="eastAsia" w:ascii="宋体" w:hAnsi="宋体" w:cs="Times New Roman"/>
                <w:color w:val="000000"/>
                <w:sz w:val="22"/>
                <w:szCs w:val="24"/>
                <w:lang w:val="en-US" w:eastAsia="zh-CN"/>
              </w:rPr>
            </w:pPr>
            <w:r>
              <w:rPr>
                <w:rFonts w:hint="eastAsia" w:ascii="宋体" w:hAnsi="宋体" w:cs="Times New Roman"/>
                <w:color w:val="000000"/>
                <w:sz w:val="22"/>
                <w:szCs w:val="24"/>
              </w:rPr>
              <w:t>套</w:t>
            </w:r>
          </w:p>
        </w:tc>
      </w:tr>
      <w:tr w14:paraId="16042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shd w:val="clear" w:color="auto" w:fill="auto"/>
            <w:vAlign w:val="center"/>
          </w:tcPr>
          <w:p w14:paraId="199CD5DF">
            <w:pPr>
              <w:widowControl w:val="0"/>
              <w:spacing w:beforeLines="0" w:afterLines="0"/>
              <w:jc w:val="center"/>
              <w:rPr>
                <w:rFonts w:hint="eastAsia" w:ascii="宋体" w:hAnsi="宋体" w:eastAsia="宋体"/>
                <w:color w:val="000000"/>
                <w:kern w:val="2"/>
                <w:sz w:val="22"/>
                <w:szCs w:val="24"/>
                <w:lang w:val="en-US" w:eastAsia="zh-CN"/>
              </w:rPr>
            </w:pPr>
            <w:r>
              <w:rPr>
                <w:rFonts w:hint="eastAsia" w:ascii="宋体" w:hAnsi="宋体"/>
                <w:color w:val="000000"/>
                <w:sz w:val="22"/>
                <w:szCs w:val="24"/>
              </w:rPr>
              <w:t>9</w:t>
            </w:r>
          </w:p>
        </w:tc>
        <w:tc>
          <w:tcPr>
            <w:tcW w:w="1537" w:type="dxa"/>
            <w:shd w:val="clear" w:color="auto" w:fill="auto"/>
            <w:vAlign w:val="center"/>
          </w:tcPr>
          <w:p w14:paraId="73CF70DE">
            <w:pPr>
              <w:widowControl w:val="0"/>
              <w:spacing w:beforeLines="0" w:afterLines="0"/>
              <w:jc w:val="center"/>
              <w:rPr>
                <w:rFonts w:hint="eastAsia" w:ascii="宋体" w:hAnsi="宋体" w:cs="Times New Roman"/>
                <w:color w:val="000000"/>
                <w:sz w:val="22"/>
                <w:szCs w:val="24"/>
                <w:lang w:val="en-US" w:eastAsia="zh-CN"/>
              </w:rPr>
            </w:pPr>
            <w:r>
              <w:rPr>
                <w:rFonts w:hint="eastAsia" w:ascii="宋体" w:hAnsi="宋体" w:cs="Times New Roman"/>
                <w:color w:val="000000"/>
                <w:sz w:val="22"/>
                <w:szCs w:val="24"/>
              </w:rPr>
              <w:t>地垫</w:t>
            </w:r>
          </w:p>
        </w:tc>
        <w:tc>
          <w:tcPr>
            <w:tcW w:w="6313" w:type="dxa"/>
            <w:shd w:val="clear" w:color="auto" w:fill="auto"/>
            <w:vAlign w:val="center"/>
          </w:tcPr>
          <w:p w14:paraId="0891FB9E">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规格：1000mm*1000mm*30mm，EVA材质。颜色：搭配</w:t>
            </w:r>
          </w:p>
          <w:p w14:paraId="15CBD32C">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特性：</w:t>
            </w:r>
          </w:p>
          <w:p w14:paraId="777B3953">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1、高弹性，高防护性能，带斜纹，强度更高。</w:t>
            </w:r>
          </w:p>
          <w:p w14:paraId="2B13C266">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2、绝缘性能好，具有抗静电功能。</w:t>
            </w:r>
          </w:p>
          <w:p w14:paraId="69E9A5D1">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3、柔弹性能好、防滑、耐磨、耐气候变化。</w:t>
            </w:r>
          </w:p>
          <w:p w14:paraId="5A1E130C">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4、安全防护性能绝佳、跌倒时可将伤害减少到最低程度。</w:t>
            </w:r>
          </w:p>
          <w:p w14:paraId="5FC76134">
            <w:pPr>
              <w:widowControl w:val="0"/>
              <w:spacing w:beforeLines="0" w:afterLines="0"/>
              <w:jc w:val="both"/>
              <w:rPr>
                <w:rFonts w:hint="eastAsia" w:ascii="宋体" w:hAnsi="宋体" w:cs="Times New Roman"/>
                <w:color w:val="000000"/>
                <w:sz w:val="22"/>
                <w:szCs w:val="24"/>
                <w:lang w:val="en-US" w:eastAsia="zh-CN"/>
              </w:rPr>
            </w:pPr>
            <w:r>
              <w:rPr>
                <w:rFonts w:hint="eastAsia" w:ascii="宋体" w:hAnsi="宋体" w:cs="Times New Roman"/>
                <w:color w:val="000000"/>
                <w:sz w:val="22"/>
                <w:szCs w:val="24"/>
              </w:rPr>
              <w:t>5、无毒性，符合环保、卫生要求。</w:t>
            </w:r>
          </w:p>
        </w:tc>
        <w:tc>
          <w:tcPr>
            <w:tcW w:w="612" w:type="dxa"/>
            <w:shd w:val="clear" w:color="auto" w:fill="auto"/>
            <w:vAlign w:val="center"/>
          </w:tcPr>
          <w:p w14:paraId="12D1318D">
            <w:pPr>
              <w:widowControl w:val="0"/>
              <w:spacing w:beforeLines="0" w:afterLines="0"/>
              <w:jc w:val="center"/>
              <w:rPr>
                <w:rFonts w:hint="eastAsia" w:ascii="宋体" w:hAnsi="宋体" w:cs="Times New Roman"/>
                <w:color w:val="000000"/>
                <w:sz w:val="22"/>
                <w:szCs w:val="24"/>
                <w:lang w:val="en-US" w:eastAsia="zh-CN"/>
              </w:rPr>
            </w:pPr>
            <w:r>
              <w:rPr>
                <w:rFonts w:hint="eastAsia" w:ascii="宋体" w:hAnsi="宋体" w:cs="Times New Roman"/>
                <w:color w:val="000000"/>
                <w:sz w:val="22"/>
                <w:szCs w:val="24"/>
              </w:rPr>
              <w:t>9</w:t>
            </w:r>
          </w:p>
        </w:tc>
        <w:tc>
          <w:tcPr>
            <w:tcW w:w="638" w:type="dxa"/>
            <w:shd w:val="clear" w:color="auto" w:fill="auto"/>
            <w:vAlign w:val="center"/>
          </w:tcPr>
          <w:p w14:paraId="6D76C23C">
            <w:pPr>
              <w:widowControl w:val="0"/>
              <w:spacing w:beforeLines="0" w:afterLines="0"/>
              <w:jc w:val="center"/>
              <w:rPr>
                <w:rFonts w:hint="eastAsia" w:ascii="宋体" w:hAnsi="宋体" w:cs="Times New Roman"/>
                <w:color w:val="000000"/>
                <w:sz w:val="22"/>
                <w:szCs w:val="24"/>
                <w:lang w:val="en-US" w:eastAsia="zh-CN"/>
              </w:rPr>
            </w:pPr>
            <w:r>
              <w:rPr>
                <w:rFonts w:hint="eastAsia" w:ascii="宋体" w:hAnsi="宋体" w:cs="Times New Roman"/>
                <w:color w:val="000000"/>
                <w:sz w:val="22"/>
                <w:szCs w:val="24"/>
              </w:rPr>
              <w:t>平</w:t>
            </w:r>
          </w:p>
        </w:tc>
      </w:tr>
      <w:tr w14:paraId="0D049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shd w:val="clear" w:color="auto" w:fill="auto"/>
            <w:vAlign w:val="center"/>
          </w:tcPr>
          <w:p w14:paraId="6EF6F621">
            <w:pPr>
              <w:widowControl w:val="0"/>
              <w:spacing w:beforeLines="0" w:afterLines="0"/>
              <w:jc w:val="center"/>
              <w:rPr>
                <w:rFonts w:hint="eastAsia" w:ascii="宋体" w:hAnsi="宋体" w:eastAsia="宋体"/>
                <w:color w:val="000000"/>
                <w:kern w:val="2"/>
                <w:sz w:val="22"/>
                <w:szCs w:val="24"/>
                <w:lang w:val="en-US" w:eastAsia="zh-CN"/>
              </w:rPr>
            </w:pPr>
            <w:r>
              <w:rPr>
                <w:rFonts w:hint="eastAsia" w:ascii="宋体" w:hAnsi="宋体"/>
                <w:color w:val="000000"/>
                <w:sz w:val="22"/>
                <w:szCs w:val="24"/>
              </w:rPr>
              <w:t>10</w:t>
            </w:r>
          </w:p>
        </w:tc>
        <w:tc>
          <w:tcPr>
            <w:tcW w:w="1537" w:type="dxa"/>
            <w:shd w:val="clear" w:color="auto" w:fill="auto"/>
            <w:vAlign w:val="center"/>
          </w:tcPr>
          <w:p w14:paraId="68E85EC0">
            <w:pPr>
              <w:widowControl w:val="0"/>
              <w:spacing w:beforeLines="0" w:afterLines="0"/>
              <w:jc w:val="center"/>
              <w:rPr>
                <w:rFonts w:hint="eastAsia" w:ascii="宋体" w:hAnsi="宋体" w:cs="Times New Roman"/>
                <w:color w:val="000000"/>
                <w:sz w:val="22"/>
                <w:szCs w:val="24"/>
                <w:lang w:val="en-US" w:eastAsia="zh-CN"/>
              </w:rPr>
            </w:pPr>
            <w:r>
              <w:rPr>
                <w:rFonts w:hint="eastAsia" w:ascii="宋体" w:hAnsi="宋体" w:cs="Times New Roman"/>
                <w:color w:val="000000"/>
                <w:sz w:val="22"/>
                <w:szCs w:val="24"/>
              </w:rPr>
              <w:t>沙发</w:t>
            </w:r>
          </w:p>
        </w:tc>
        <w:tc>
          <w:tcPr>
            <w:tcW w:w="6313" w:type="dxa"/>
            <w:shd w:val="clear" w:color="auto" w:fill="auto"/>
            <w:vAlign w:val="center"/>
          </w:tcPr>
          <w:p w14:paraId="76EE7F36">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1、规格：3人沙发一套，长度约2000mm</w:t>
            </w:r>
          </w:p>
          <w:p w14:paraId="51E71C08">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2、材质：免洗猫爪皮</w:t>
            </w:r>
          </w:p>
          <w:p w14:paraId="20107A6C">
            <w:pPr>
              <w:widowControl w:val="0"/>
              <w:spacing w:beforeLines="0" w:afterLines="0"/>
              <w:jc w:val="both"/>
              <w:rPr>
                <w:rFonts w:hint="eastAsia" w:ascii="宋体" w:hAnsi="宋体" w:cs="Times New Roman"/>
                <w:color w:val="000000"/>
                <w:sz w:val="22"/>
                <w:szCs w:val="24"/>
                <w:lang w:val="en-US" w:eastAsia="zh-CN"/>
              </w:rPr>
            </w:pPr>
            <w:r>
              <w:rPr>
                <w:rFonts w:hint="eastAsia" w:ascii="宋体" w:hAnsi="宋体" w:cs="Times New Roman"/>
                <w:color w:val="000000"/>
                <w:sz w:val="22"/>
                <w:szCs w:val="24"/>
              </w:rPr>
              <w:t>3、用途：来访学生等待休息，与整体环境相协调。</w:t>
            </w:r>
          </w:p>
        </w:tc>
        <w:tc>
          <w:tcPr>
            <w:tcW w:w="612" w:type="dxa"/>
            <w:shd w:val="clear" w:color="auto" w:fill="auto"/>
            <w:vAlign w:val="center"/>
          </w:tcPr>
          <w:p w14:paraId="2FDB5835">
            <w:pPr>
              <w:widowControl w:val="0"/>
              <w:spacing w:beforeLines="0" w:afterLines="0"/>
              <w:jc w:val="center"/>
              <w:rPr>
                <w:rFonts w:hint="eastAsia" w:ascii="宋体" w:hAnsi="宋体" w:cs="Times New Roman"/>
                <w:color w:val="000000"/>
                <w:sz w:val="22"/>
                <w:szCs w:val="24"/>
                <w:lang w:val="en-US" w:eastAsia="zh-CN"/>
              </w:rPr>
            </w:pPr>
            <w:r>
              <w:rPr>
                <w:rFonts w:hint="eastAsia" w:ascii="宋体" w:hAnsi="宋体" w:cs="Times New Roman"/>
                <w:color w:val="000000"/>
                <w:sz w:val="22"/>
                <w:szCs w:val="24"/>
              </w:rPr>
              <w:t>1</w:t>
            </w:r>
          </w:p>
        </w:tc>
        <w:tc>
          <w:tcPr>
            <w:tcW w:w="638" w:type="dxa"/>
            <w:shd w:val="clear" w:color="auto" w:fill="auto"/>
            <w:vAlign w:val="center"/>
          </w:tcPr>
          <w:p w14:paraId="30949037">
            <w:pPr>
              <w:widowControl w:val="0"/>
              <w:spacing w:beforeLines="0" w:afterLines="0"/>
              <w:jc w:val="center"/>
              <w:rPr>
                <w:rFonts w:hint="eastAsia" w:ascii="宋体" w:hAnsi="宋体" w:cs="Times New Roman"/>
                <w:color w:val="000000"/>
                <w:sz w:val="22"/>
                <w:szCs w:val="24"/>
                <w:lang w:val="en-US" w:eastAsia="zh-CN"/>
              </w:rPr>
            </w:pPr>
            <w:r>
              <w:rPr>
                <w:rFonts w:hint="eastAsia" w:ascii="宋体" w:hAnsi="宋体" w:cs="Times New Roman"/>
                <w:color w:val="000000"/>
                <w:sz w:val="22"/>
                <w:szCs w:val="24"/>
              </w:rPr>
              <w:t>套</w:t>
            </w:r>
          </w:p>
        </w:tc>
      </w:tr>
      <w:tr w14:paraId="06D41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shd w:val="clear" w:color="auto" w:fill="auto"/>
            <w:vAlign w:val="center"/>
          </w:tcPr>
          <w:p w14:paraId="443E0C92">
            <w:pPr>
              <w:widowControl w:val="0"/>
              <w:spacing w:beforeLines="0" w:afterLines="0"/>
              <w:jc w:val="center"/>
              <w:rPr>
                <w:rFonts w:hint="eastAsia" w:ascii="宋体" w:hAnsi="宋体" w:eastAsia="宋体"/>
                <w:color w:val="000000"/>
                <w:kern w:val="2"/>
                <w:sz w:val="22"/>
                <w:szCs w:val="24"/>
                <w:lang w:val="en-US" w:eastAsia="zh-CN"/>
              </w:rPr>
            </w:pPr>
            <w:r>
              <w:rPr>
                <w:rFonts w:hint="eastAsia" w:ascii="宋体" w:hAnsi="宋体"/>
                <w:color w:val="000000"/>
                <w:sz w:val="22"/>
                <w:szCs w:val="24"/>
              </w:rPr>
              <w:t>11</w:t>
            </w:r>
          </w:p>
        </w:tc>
        <w:tc>
          <w:tcPr>
            <w:tcW w:w="1537" w:type="dxa"/>
            <w:shd w:val="clear" w:color="auto" w:fill="auto"/>
            <w:vAlign w:val="center"/>
          </w:tcPr>
          <w:p w14:paraId="007D8077">
            <w:pPr>
              <w:widowControl w:val="0"/>
              <w:spacing w:beforeLines="0" w:afterLines="0"/>
              <w:jc w:val="center"/>
              <w:rPr>
                <w:rFonts w:hint="eastAsia" w:ascii="宋体" w:hAnsi="宋体" w:cs="Times New Roman"/>
                <w:color w:val="000000"/>
                <w:sz w:val="22"/>
                <w:szCs w:val="24"/>
                <w:lang w:val="en-US" w:eastAsia="zh-CN"/>
              </w:rPr>
            </w:pPr>
            <w:r>
              <w:rPr>
                <w:rFonts w:hint="eastAsia" w:ascii="宋体" w:hAnsi="宋体" w:cs="Times New Roman"/>
                <w:color w:val="000000"/>
                <w:sz w:val="22"/>
                <w:szCs w:val="24"/>
              </w:rPr>
              <w:t>活动桌椅</w:t>
            </w:r>
          </w:p>
        </w:tc>
        <w:tc>
          <w:tcPr>
            <w:tcW w:w="6313" w:type="dxa"/>
            <w:shd w:val="clear" w:color="auto" w:fill="auto"/>
            <w:vAlign w:val="center"/>
          </w:tcPr>
          <w:p w14:paraId="392802B8">
            <w:pPr>
              <w:widowControl w:val="0"/>
              <w:spacing w:beforeLines="0" w:afterLines="0"/>
              <w:jc w:val="both"/>
              <w:rPr>
                <w:rFonts w:hint="eastAsia" w:ascii="宋体" w:hAnsi="宋体" w:cs="Times New Roman"/>
                <w:color w:val="000000"/>
                <w:sz w:val="22"/>
                <w:szCs w:val="24"/>
                <w:lang w:val="en-US" w:eastAsia="zh-CN"/>
              </w:rPr>
            </w:pPr>
            <w:r>
              <w:rPr>
                <w:rFonts w:hint="eastAsia" w:ascii="宋体" w:hAnsi="宋体" w:cs="Times New Roman"/>
                <w:color w:val="000000"/>
                <w:sz w:val="22"/>
                <w:szCs w:val="24"/>
              </w:rPr>
              <w:t>桌子：300*100*75cm(长*宽*高)，桌面厚度5cm，实木材质；配10张书椅。</w:t>
            </w:r>
          </w:p>
        </w:tc>
        <w:tc>
          <w:tcPr>
            <w:tcW w:w="612" w:type="dxa"/>
            <w:shd w:val="clear" w:color="auto" w:fill="auto"/>
            <w:vAlign w:val="center"/>
          </w:tcPr>
          <w:p w14:paraId="6351F9A1">
            <w:pPr>
              <w:widowControl w:val="0"/>
              <w:spacing w:beforeLines="0" w:afterLines="0"/>
              <w:jc w:val="center"/>
              <w:rPr>
                <w:rFonts w:hint="eastAsia" w:ascii="宋体" w:hAnsi="宋体" w:cs="Times New Roman"/>
                <w:color w:val="000000"/>
                <w:sz w:val="22"/>
                <w:szCs w:val="24"/>
                <w:lang w:val="en-US" w:eastAsia="zh-CN"/>
              </w:rPr>
            </w:pPr>
            <w:r>
              <w:rPr>
                <w:rFonts w:hint="eastAsia" w:ascii="宋体" w:hAnsi="宋体" w:cs="Times New Roman"/>
                <w:color w:val="000000"/>
                <w:sz w:val="22"/>
                <w:szCs w:val="24"/>
              </w:rPr>
              <w:t>1</w:t>
            </w:r>
          </w:p>
        </w:tc>
        <w:tc>
          <w:tcPr>
            <w:tcW w:w="638" w:type="dxa"/>
            <w:shd w:val="clear" w:color="auto" w:fill="auto"/>
            <w:vAlign w:val="center"/>
          </w:tcPr>
          <w:p w14:paraId="7E555311">
            <w:pPr>
              <w:widowControl w:val="0"/>
              <w:spacing w:beforeLines="0" w:afterLines="0"/>
              <w:jc w:val="center"/>
              <w:rPr>
                <w:rFonts w:hint="eastAsia" w:ascii="宋体" w:hAnsi="宋体" w:cs="Times New Roman"/>
                <w:color w:val="000000"/>
                <w:sz w:val="22"/>
                <w:szCs w:val="24"/>
                <w:lang w:val="en-US" w:eastAsia="zh-CN"/>
              </w:rPr>
            </w:pPr>
            <w:r>
              <w:rPr>
                <w:rFonts w:hint="eastAsia" w:ascii="宋体" w:hAnsi="宋体" w:cs="Times New Roman"/>
                <w:color w:val="000000"/>
                <w:sz w:val="22"/>
                <w:szCs w:val="24"/>
              </w:rPr>
              <w:t>套</w:t>
            </w:r>
          </w:p>
        </w:tc>
      </w:tr>
      <w:tr w14:paraId="2795E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shd w:val="clear" w:color="auto" w:fill="auto"/>
            <w:vAlign w:val="center"/>
          </w:tcPr>
          <w:p w14:paraId="3956E24C">
            <w:pPr>
              <w:widowControl w:val="0"/>
              <w:spacing w:beforeLines="0" w:afterLines="0"/>
              <w:jc w:val="center"/>
              <w:rPr>
                <w:rFonts w:hint="eastAsia" w:ascii="宋体" w:hAnsi="宋体" w:eastAsia="宋体"/>
                <w:color w:val="000000"/>
                <w:kern w:val="2"/>
                <w:sz w:val="22"/>
                <w:szCs w:val="24"/>
                <w:lang w:val="en-US" w:eastAsia="zh-CN"/>
              </w:rPr>
            </w:pPr>
            <w:r>
              <w:rPr>
                <w:rFonts w:hint="eastAsia" w:ascii="宋体" w:hAnsi="宋体"/>
                <w:color w:val="000000"/>
                <w:sz w:val="22"/>
                <w:szCs w:val="24"/>
              </w:rPr>
              <w:t>12</w:t>
            </w:r>
          </w:p>
        </w:tc>
        <w:tc>
          <w:tcPr>
            <w:tcW w:w="1537" w:type="dxa"/>
            <w:shd w:val="clear" w:color="auto" w:fill="auto"/>
            <w:vAlign w:val="center"/>
          </w:tcPr>
          <w:p w14:paraId="05A5F55A">
            <w:pPr>
              <w:widowControl w:val="0"/>
              <w:spacing w:beforeLines="0" w:afterLines="0"/>
              <w:jc w:val="center"/>
              <w:rPr>
                <w:rFonts w:hint="eastAsia" w:ascii="宋体" w:hAnsi="宋体" w:cs="Times New Roman"/>
                <w:color w:val="000000"/>
                <w:sz w:val="22"/>
                <w:szCs w:val="24"/>
                <w:lang w:val="en-US" w:eastAsia="zh-CN"/>
              </w:rPr>
            </w:pPr>
            <w:r>
              <w:rPr>
                <w:rFonts w:hint="eastAsia" w:ascii="宋体" w:hAnsi="宋体" w:cs="Times New Roman"/>
                <w:color w:val="000000"/>
                <w:sz w:val="22"/>
                <w:szCs w:val="24"/>
              </w:rPr>
              <w:t>饮水机</w:t>
            </w:r>
          </w:p>
        </w:tc>
        <w:tc>
          <w:tcPr>
            <w:tcW w:w="6313" w:type="dxa"/>
            <w:shd w:val="clear" w:color="auto" w:fill="auto"/>
            <w:vAlign w:val="center"/>
          </w:tcPr>
          <w:p w14:paraId="48F3828C">
            <w:pPr>
              <w:widowControl w:val="0"/>
              <w:spacing w:beforeLines="0" w:afterLines="0"/>
              <w:jc w:val="both"/>
              <w:rPr>
                <w:rFonts w:hint="eastAsia" w:ascii="宋体" w:hAnsi="宋体" w:cs="Times New Roman"/>
                <w:color w:val="000000"/>
                <w:sz w:val="22"/>
                <w:szCs w:val="24"/>
                <w:lang w:val="en-US" w:eastAsia="zh-CN"/>
              </w:rPr>
            </w:pPr>
            <w:r>
              <w:rPr>
                <w:rFonts w:hint="eastAsia" w:ascii="宋体" w:hAnsi="宋体" w:cs="Times New Roman"/>
                <w:color w:val="000000"/>
                <w:sz w:val="22"/>
                <w:szCs w:val="24"/>
              </w:rPr>
              <w:t>类型：立式饮水机冷热：电子温热型（制热+常温）额定电压：220V制热功率：&gt;=290W内胆：食品接触用不锈钢</w:t>
            </w:r>
          </w:p>
        </w:tc>
        <w:tc>
          <w:tcPr>
            <w:tcW w:w="612" w:type="dxa"/>
            <w:shd w:val="clear" w:color="auto" w:fill="auto"/>
            <w:vAlign w:val="center"/>
          </w:tcPr>
          <w:p w14:paraId="2867ACF5">
            <w:pPr>
              <w:widowControl w:val="0"/>
              <w:spacing w:beforeLines="0" w:afterLines="0"/>
              <w:jc w:val="center"/>
              <w:rPr>
                <w:rFonts w:hint="eastAsia" w:ascii="宋体" w:hAnsi="宋体" w:cs="Times New Roman"/>
                <w:color w:val="000000"/>
                <w:sz w:val="22"/>
                <w:szCs w:val="24"/>
                <w:lang w:val="en-US" w:eastAsia="zh-CN"/>
              </w:rPr>
            </w:pPr>
            <w:r>
              <w:rPr>
                <w:rFonts w:hint="eastAsia" w:ascii="宋体" w:hAnsi="宋体" w:cs="Times New Roman"/>
                <w:color w:val="000000"/>
                <w:sz w:val="22"/>
                <w:szCs w:val="24"/>
                <w:lang w:val="en-US" w:eastAsia="zh-CN"/>
              </w:rPr>
              <w:t>1</w:t>
            </w:r>
          </w:p>
        </w:tc>
        <w:tc>
          <w:tcPr>
            <w:tcW w:w="638" w:type="dxa"/>
            <w:shd w:val="clear" w:color="auto" w:fill="auto"/>
            <w:vAlign w:val="center"/>
          </w:tcPr>
          <w:p w14:paraId="0E6C62E9">
            <w:pPr>
              <w:widowControl w:val="0"/>
              <w:spacing w:beforeLines="0" w:afterLines="0"/>
              <w:jc w:val="center"/>
              <w:rPr>
                <w:rFonts w:hint="eastAsia" w:ascii="宋体" w:hAnsi="宋体" w:cs="Times New Roman"/>
                <w:color w:val="000000"/>
                <w:sz w:val="22"/>
                <w:szCs w:val="24"/>
                <w:lang w:val="en-US" w:eastAsia="zh-CN"/>
              </w:rPr>
            </w:pPr>
            <w:r>
              <w:rPr>
                <w:rFonts w:hint="eastAsia" w:ascii="宋体" w:hAnsi="宋体" w:cs="Times New Roman"/>
                <w:color w:val="000000"/>
                <w:sz w:val="22"/>
                <w:szCs w:val="24"/>
              </w:rPr>
              <w:t>台</w:t>
            </w:r>
          </w:p>
        </w:tc>
      </w:tr>
      <w:tr w14:paraId="29BD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shd w:val="clear" w:color="auto" w:fill="auto"/>
            <w:vAlign w:val="center"/>
          </w:tcPr>
          <w:p w14:paraId="0C082C16">
            <w:pPr>
              <w:widowControl w:val="0"/>
              <w:spacing w:beforeLines="0" w:afterLines="0"/>
              <w:jc w:val="center"/>
              <w:rPr>
                <w:rFonts w:hint="eastAsia" w:ascii="宋体" w:hAnsi="宋体" w:eastAsia="宋体"/>
                <w:color w:val="000000"/>
                <w:kern w:val="2"/>
                <w:sz w:val="22"/>
                <w:szCs w:val="24"/>
                <w:lang w:val="en-US" w:eastAsia="zh-CN"/>
              </w:rPr>
            </w:pPr>
            <w:r>
              <w:rPr>
                <w:rFonts w:hint="eastAsia" w:ascii="宋体" w:hAnsi="宋体"/>
                <w:color w:val="000000"/>
                <w:sz w:val="22"/>
                <w:szCs w:val="24"/>
              </w:rPr>
              <w:t>13</w:t>
            </w:r>
          </w:p>
        </w:tc>
        <w:tc>
          <w:tcPr>
            <w:tcW w:w="1537" w:type="dxa"/>
            <w:shd w:val="clear" w:color="auto" w:fill="auto"/>
            <w:vAlign w:val="center"/>
          </w:tcPr>
          <w:p w14:paraId="15C7B5E5">
            <w:pPr>
              <w:widowControl w:val="0"/>
              <w:spacing w:beforeLines="0" w:afterLines="0"/>
              <w:jc w:val="center"/>
              <w:rPr>
                <w:rFonts w:hint="eastAsia" w:ascii="宋体" w:hAnsi="宋体" w:cs="Times New Roman"/>
                <w:color w:val="000000"/>
                <w:sz w:val="22"/>
                <w:szCs w:val="24"/>
                <w:lang w:val="en-US" w:eastAsia="zh-CN"/>
              </w:rPr>
            </w:pPr>
            <w:r>
              <w:rPr>
                <w:rFonts w:hint="eastAsia" w:ascii="宋体" w:hAnsi="宋体" w:cs="Times New Roman"/>
                <w:color w:val="000000"/>
                <w:sz w:val="22"/>
                <w:szCs w:val="24"/>
              </w:rPr>
              <w:t>茶几</w:t>
            </w:r>
          </w:p>
        </w:tc>
        <w:tc>
          <w:tcPr>
            <w:tcW w:w="6313" w:type="dxa"/>
            <w:shd w:val="clear" w:color="auto" w:fill="auto"/>
            <w:vAlign w:val="center"/>
          </w:tcPr>
          <w:p w14:paraId="59432A3B">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圆形茶几组合</w:t>
            </w:r>
          </w:p>
          <w:p w14:paraId="115ED76C">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1、规格：宽500mm ，高450mm；宽750mm ，高400mm；</w:t>
            </w:r>
          </w:p>
          <w:p w14:paraId="4345EAEA">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2、框架材质：铁艺；</w:t>
            </w:r>
          </w:p>
          <w:p w14:paraId="086A3B27">
            <w:pPr>
              <w:widowControl w:val="0"/>
              <w:spacing w:beforeLines="0" w:afterLines="0"/>
              <w:jc w:val="both"/>
              <w:rPr>
                <w:rFonts w:hint="eastAsia" w:ascii="宋体" w:hAnsi="宋体" w:cs="Times New Roman"/>
                <w:color w:val="000000"/>
                <w:sz w:val="22"/>
                <w:szCs w:val="24"/>
                <w:lang w:val="en-US" w:eastAsia="zh-CN"/>
              </w:rPr>
            </w:pPr>
            <w:r>
              <w:rPr>
                <w:rFonts w:hint="eastAsia" w:ascii="宋体" w:hAnsi="宋体" w:cs="Times New Roman"/>
                <w:color w:val="000000"/>
                <w:sz w:val="22"/>
                <w:szCs w:val="24"/>
              </w:rPr>
              <w:t>3、台面：岩板；INS风格；</w:t>
            </w:r>
          </w:p>
        </w:tc>
        <w:tc>
          <w:tcPr>
            <w:tcW w:w="612" w:type="dxa"/>
            <w:shd w:val="clear" w:color="auto" w:fill="auto"/>
            <w:vAlign w:val="center"/>
          </w:tcPr>
          <w:p w14:paraId="4871B208">
            <w:pPr>
              <w:widowControl w:val="0"/>
              <w:spacing w:beforeLines="0" w:afterLines="0"/>
              <w:jc w:val="center"/>
              <w:rPr>
                <w:rFonts w:hint="eastAsia" w:ascii="宋体" w:hAnsi="宋体" w:cs="Times New Roman"/>
                <w:color w:val="000000"/>
                <w:sz w:val="22"/>
                <w:szCs w:val="24"/>
                <w:lang w:val="en-US" w:eastAsia="zh-CN"/>
              </w:rPr>
            </w:pPr>
            <w:r>
              <w:rPr>
                <w:rFonts w:hint="eastAsia" w:ascii="宋体" w:hAnsi="宋体" w:cs="Times New Roman"/>
                <w:color w:val="000000"/>
                <w:sz w:val="22"/>
                <w:szCs w:val="24"/>
              </w:rPr>
              <w:t>1</w:t>
            </w:r>
          </w:p>
        </w:tc>
        <w:tc>
          <w:tcPr>
            <w:tcW w:w="638" w:type="dxa"/>
            <w:shd w:val="clear" w:color="auto" w:fill="auto"/>
            <w:vAlign w:val="center"/>
          </w:tcPr>
          <w:p w14:paraId="38D4C670">
            <w:pPr>
              <w:widowControl w:val="0"/>
              <w:spacing w:beforeLines="0" w:afterLines="0"/>
              <w:jc w:val="center"/>
              <w:rPr>
                <w:rFonts w:hint="eastAsia" w:ascii="宋体" w:hAnsi="宋体" w:cs="Times New Roman"/>
                <w:color w:val="000000"/>
                <w:sz w:val="22"/>
                <w:szCs w:val="24"/>
                <w:lang w:val="en-US" w:eastAsia="zh-CN"/>
              </w:rPr>
            </w:pPr>
            <w:r>
              <w:rPr>
                <w:rFonts w:hint="eastAsia" w:ascii="宋体" w:hAnsi="宋体" w:cs="Times New Roman"/>
                <w:color w:val="000000"/>
                <w:sz w:val="22"/>
                <w:szCs w:val="24"/>
              </w:rPr>
              <w:t>套</w:t>
            </w:r>
          </w:p>
        </w:tc>
      </w:tr>
      <w:tr w14:paraId="52151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shd w:val="clear" w:color="auto" w:fill="auto"/>
            <w:vAlign w:val="center"/>
          </w:tcPr>
          <w:p w14:paraId="34C7F6C0">
            <w:pPr>
              <w:widowControl w:val="0"/>
              <w:spacing w:beforeLines="0" w:afterLines="0"/>
              <w:jc w:val="center"/>
              <w:rPr>
                <w:rFonts w:hint="eastAsia" w:ascii="宋体" w:hAnsi="宋体" w:eastAsia="宋体"/>
                <w:color w:val="000000"/>
                <w:kern w:val="2"/>
                <w:sz w:val="22"/>
                <w:szCs w:val="24"/>
                <w:lang w:val="en-US" w:eastAsia="zh-CN"/>
              </w:rPr>
            </w:pPr>
            <w:r>
              <w:rPr>
                <w:rFonts w:hint="eastAsia" w:ascii="宋体" w:hAnsi="宋体"/>
                <w:color w:val="000000"/>
                <w:sz w:val="22"/>
                <w:szCs w:val="24"/>
              </w:rPr>
              <w:t>17</w:t>
            </w:r>
          </w:p>
        </w:tc>
        <w:tc>
          <w:tcPr>
            <w:tcW w:w="1537" w:type="dxa"/>
            <w:shd w:val="clear" w:color="auto" w:fill="auto"/>
            <w:vAlign w:val="center"/>
          </w:tcPr>
          <w:p w14:paraId="18A86C6A">
            <w:pPr>
              <w:widowControl w:val="0"/>
              <w:spacing w:beforeLines="0" w:afterLines="0"/>
              <w:jc w:val="center"/>
              <w:rPr>
                <w:rFonts w:hint="eastAsia" w:ascii="宋体" w:hAnsi="宋体" w:cs="Times New Roman"/>
                <w:color w:val="000000"/>
                <w:sz w:val="22"/>
                <w:szCs w:val="24"/>
                <w:lang w:val="en-US" w:eastAsia="zh-CN"/>
              </w:rPr>
            </w:pPr>
            <w:r>
              <w:rPr>
                <w:rFonts w:hint="eastAsia" w:ascii="宋体" w:hAnsi="宋体" w:cs="Times New Roman"/>
                <w:color w:val="000000"/>
                <w:sz w:val="22"/>
                <w:szCs w:val="24"/>
              </w:rPr>
              <w:t>办公桌椅</w:t>
            </w:r>
          </w:p>
        </w:tc>
        <w:tc>
          <w:tcPr>
            <w:tcW w:w="6313" w:type="dxa"/>
            <w:shd w:val="clear" w:color="auto" w:fill="auto"/>
            <w:vAlign w:val="center"/>
          </w:tcPr>
          <w:p w14:paraId="053DAACC">
            <w:pPr>
              <w:widowControl w:val="0"/>
              <w:spacing w:beforeLines="0" w:afterLines="0"/>
              <w:jc w:val="both"/>
              <w:rPr>
                <w:rFonts w:hint="eastAsia" w:ascii="宋体" w:hAnsi="宋体" w:cs="Times New Roman"/>
                <w:color w:val="000000"/>
                <w:sz w:val="22"/>
                <w:szCs w:val="24"/>
                <w:lang w:val="en-US" w:eastAsia="zh-CN"/>
              </w:rPr>
            </w:pPr>
            <w:r>
              <w:rPr>
                <w:rFonts w:hint="eastAsia" w:ascii="宋体" w:hAnsi="宋体" w:cs="Times New Roman"/>
                <w:color w:val="000000"/>
                <w:sz w:val="22"/>
                <w:szCs w:val="24"/>
              </w:rPr>
              <w:t>桌子：规格：1400*600*750mm，材质为E1级刨花板，三聚氰氨免漆板饰面，封边材质采用1.5mmPVC封边条封边，主板台面加厚40mm，侧脚25mm。椅子：靠背和扶手均采用黑色全新料加纤框架，透气网布，座包采用42密度纯海绵，透气网布；2.0mm厚度蝴蝶底盘；黑色尼龙脚+50mm尼龙+PU静音脚轮。</w:t>
            </w:r>
          </w:p>
        </w:tc>
        <w:tc>
          <w:tcPr>
            <w:tcW w:w="612" w:type="dxa"/>
            <w:shd w:val="clear" w:color="auto" w:fill="auto"/>
            <w:vAlign w:val="center"/>
          </w:tcPr>
          <w:p w14:paraId="0A79BF0C">
            <w:pPr>
              <w:widowControl w:val="0"/>
              <w:spacing w:beforeLines="0" w:afterLines="0"/>
              <w:jc w:val="center"/>
              <w:rPr>
                <w:rFonts w:hint="eastAsia" w:ascii="宋体" w:hAnsi="宋体" w:cs="Times New Roman"/>
                <w:color w:val="000000"/>
                <w:sz w:val="22"/>
                <w:szCs w:val="24"/>
                <w:lang w:val="en-US" w:eastAsia="zh-CN"/>
              </w:rPr>
            </w:pPr>
            <w:r>
              <w:rPr>
                <w:rFonts w:hint="eastAsia" w:ascii="宋体" w:hAnsi="宋体" w:cs="Times New Roman"/>
                <w:color w:val="000000"/>
                <w:sz w:val="22"/>
                <w:szCs w:val="24"/>
                <w:lang w:val="en-US" w:eastAsia="zh-CN"/>
              </w:rPr>
              <w:t>1</w:t>
            </w:r>
          </w:p>
        </w:tc>
        <w:tc>
          <w:tcPr>
            <w:tcW w:w="638" w:type="dxa"/>
            <w:shd w:val="clear" w:color="auto" w:fill="auto"/>
            <w:vAlign w:val="center"/>
          </w:tcPr>
          <w:p w14:paraId="3DB61CAA">
            <w:pPr>
              <w:widowControl w:val="0"/>
              <w:spacing w:beforeLines="0" w:afterLines="0"/>
              <w:jc w:val="center"/>
              <w:rPr>
                <w:rFonts w:hint="eastAsia" w:ascii="宋体" w:hAnsi="宋体" w:cs="Times New Roman"/>
                <w:color w:val="000000"/>
                <w:sz w:val="22"/>
                <w:szCs w:val="24"/>
                <w:lang w:val="en-US" w:eastAsia="zh-CN"/>
              </w:rPr>
            </w:pPr>
            <w:r>
              <w:rPr>
                <w:rFonts w:hint="eastAsia" w:ascii="宋体" w:hAnsi="宋体" w:cs="Times New Roman"/>
                <w:color w:val="000000"/>
                <w:sz w:val="22"/>
                <w:szCs w:val="24"/>
              </w:rPr>
              <w:t>套</w:t>
            </w:r>
          </w:p>
        </w:tc>
      </w:tr>
      <w:tr w14:paraId="64E9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shd w:val="clear" w:color="auto" w:fill="auto"/>
            <w:vAlign w:val="center"/>
          </w:tcPr>
          <w:p w14:paraId="5CE3C7BD">
            <w:pPr>
              <w:widowControl w:val="0"/>
              <w:spacing w:beforeLines="0" w:afterLines="0"/>
              <w:jc w:val="center"/>
              <w:rPr>
                <w:rFonts w:hint="eastAsia" w:ascii="宋体" w:hAnsi="宋体" w:eastAsia="宋体"/>
                <w:color w:val="000000"/>
                <w:kern w:val="2"/>
                <w:sz w:val="22"/>
                <w:szCs w:val="24"/>
                <w:lang w:val="en-US" w:eastAsia="zh-CN"/>
              </w:rPr>
            </w:pPr>
            <w:r>
              <w:rPr>
                <w:rFonts w:hint="eastAsia" w:ascii="宋体" w:hAnsi="宋体"/>
                <w:color w:val="000000"/>
                <w:sz w:val="22"/>
                <w:szCs w:val="24"/>
              </w:rPr>
              <w:t>18</w:t>
            </w:r>
          </w:p>
        </w:tc>
        <w:tc>
          <w:tcPr>
            <w:tcW w:w="1537" w:type="dxa"/>
            <w:shd w:val="clear" w:color="auto" w:fill="auto"/>
            <w:vAlign w:val="center"/>
          </w:tcPr>
          <w:p w14:paraId="3603E9A3">
            <w:pPr>
              <w:widowControl w:val="0"/>
              <w:spacing w:beforeLines="0" w:afterLines="0"/>
              <w:jc w:val="center"/>
              <w:rPr>
                <w:rFonts w:hint="eastAsia" w:ascii="宋体" w:hAnsi="宋体" w:cs="Times New Roman"/>
                <w:color w:val="000000"/>
                <w:sz w:val="22"/>
                <w:szCs w:val="24"/>
                <w:lang w:val="en-US" w:eastAsia="zh-CN"/>
              </w:rPr>
            </w:pPr>
            <w:r>
              <w:rPr>
                <w:rFonts w:hint="eastAsia" w:ascii="宋体" w:hAnsi="宋体" w:cs="Times New Roman"/>
                <w:color w:val="000000"/>
                <w:sz w:val="22"/>
                <w:szCs w:val="24"/>
              </w:rPr>
              <w:t>电脑</w:t>
            </w:r>
          </w:p>
        </w:tc>
        <w:tc>
          <w:tcPr>
            <w:tcW w:w="6313" w:type="dxa"/>
            <w:shd w:val="clear" w:color="auto" w:fill="auto"/>
            <w:vAlign w:val="center"/>
          </w:tcPr>
          <w:p w14:paraId="2E6CC444">
            <w:pPr>
              <w:widowControl w:val="0"/>
              <w:rPr>
                <w:rFonts w:hint="eastAsia"/>
                <w:color w:val="FF0000"/>
              </w:rPr>
            </w:pPr>
            <w:r>
              <w:rPr>
                <w:rFonts w:hint="eastAsia"/>
                <w:color w:val="FF0000"/>
              </w:rPr>
              <w:t>一、硬件性能</w:t>
            </w:r>
          </w:p>
          <w:p w14:paraId="37292548">
            <w:pPr>
              <w:widowControl w:val="0"/>
              <w:rPr>
                <w:rFonts w:hint="eastAsia"/>
                <w:color w:val="FF0000"/>
              </w:rPr>
            </w:pPr>
            <w:r>
              <w:rPr>
                <w:rFonts w:hint="eastAsia"/>
                <w:color w:val="FF0000"/>
              </w:rPr>
              <w:t>▲1.国产处理器：主频≥3.0GHz 、≥8核处理器16线程，三级缓存≥16MB。</w:t>
            </w:r>
          </w:p>
          <w:p w14:paraId="4F686DE9">
            <w:pPr>
              <w:widowControl w:val="0"/>
              <w:rPr>
                <w:rFonts w:hint="eastAsia"/>
                <w:color w:val="FF0000"/>
              </w:rPr>
            </w:pPr>
            <w:r>
              <w:rPr>
                <w:rFonts w:hint="eastAsia"/>
                <w:color w:val="FF0000"/>
              </w:rPr>
              <w:t>2. 内存：16GB DDR4 3200MT/s 内存或以上配置。</w:t>
            </w:r>
          </w:p>
          <w:p w14:paraId="033A3FD1">
            <w:pPr>
              <w:widowControl w:val="0"/>
              <w:rPr>
                <w:rFonts w:hint="default" w:eastAsia="宋体"/>
                <w:color w:val="FF0000"/>
                <w:lang w:val="en-US" w:eastAsia="zh-CN"/>
              </w:rPr>
            </w:pPr>
            <w:r>
              <w:rPr>
                <w:rFonts w:hint="eastAsia"/>
                <w:color w:val="FF0000"/>
              </w:rPr>
              <w:t>3. 硬盘：≥512GB M.2 NVMe SSD硬盘。≥</w:t>
            </w:r>
            <w:r>
              <w:rPr>
                <w:rFonts w:hint="eastAsia"/>
                <w:color w:val="FF0000"/>
                <w:lang w:val="en-US" w:eastAsia="zh-CN"/>
              </w:rPr>
              <w:t>1TB机械硬盘。</w:t>
            </w:r>
          </w:p>
          <w:p w14:paraId="50A2FB82">
            <w:pPr>
              <w:widowControl w:val="0"/>
              <w:rPr>
                <w:rFonts w:hint="eastAsia"/>
                <w:color w:val="FF0000"/>
              </w:rPr>
            </w:pPr>
            <w:r>
              <w:rPr>
                <w:rFonts w:hint="eastAsia"/>
                <w:color w:val="FF0000"/>
              </w:rPr>
              <w:t>4.支持拓展9.5mm标准光驱。</w:t>
            </w:r>
          </w:p>
          <w:p w14:paraId="52933E10">
            <w:pPr>
              <w:widowControl w:val="0"/>
              <w:rPr>
                <w:rFonts w:hint="eastAsia"/>
                <w:color w:val="FF0000"/>
              </w:rPr>
            </w:pPr>
            <w:r>
              <w:rPr>
                <w:rFonts w:hint="eastAsia"/>
                <w:color w:val="FF0000"/>
              </w:rPr>
              <w:t>5.支持1000Mbps。网口支持wake on LAN。</w:t>
            </w:r>
          </w:p>
          <w:p w14:paraId="2FDF18CB">
            <w:pPr>
              <w:widowControl w:val="0"/>
              <w:rPr>
                <w:rFonts w:hint="eastAsia"/>
                <w:color w:val="FF0000"/>
              </w:rPr>
            </w:pPr>
            <w:r>
              <w:rPr>
                <w:rFonts w:hint="eastAsia"/>
                <w:color w:val="FF0000"/>
              </w:rPr>
              <w:t>6. 集成标准声卡。</w:t>
            </w:r>
          </w:p>
          <w:p w14:paraId="55F8632C">
            <w:pPr>
              <w:widowControl w:val="0"/>
              <w:rPr>
                <w:rFonts w:hint="eastAsia"/>
                <w:color w:val="FF0000"/>
              </w:rPr>
            </w:pPr>
            <w:r>
              <w:rPr>
                <w:rFonts w:hint="eastAsia"/>
                <w:color w:val="FF0000"/>
              </w:rPr>
              <w:t>7. USB有线键盘、鼠标。</w:t>
            </w:r>
          </w:p>
          <w:p w14:paraId="34BB3167">
            <w:pPr>
              <w:widowControl w:val="0"/>
              <w:rPr>
                <w:rFonts w:hint="eastAsia"/>
                <w:color w:val="FF0000"/>
              </w:rPr>
            </w:pPr>
            <w:r>
              <w:rPr>
                <w:rFonts w:hint="eastAsia"/>
                <w:color w:val="FF0000"/>
              </w:rPr>
              <w:t>8.前置面板：USB3.0≥2个；USB2.0≥4个；TypeC≥1个；四段式耳麦接口≥1个（支持耳机麦克风二合一）；三段式麦克风接口≥1</w:t>
            </w:r>
          </w:p>
          <w:p w14:paraId="6F304189">
            <w:pPr>
              <w:widowControl w:val="0"/>
              <w:rPr>
                <w:rFonts w:hint="eastAsia"/>
                <w:color w:val="FF0000"/>
              </w:rPr>
            </w:pPr>
            <w:r>
              <w:rPr>
                <w:rFonts w:hint="eastAsia"/>
                <w:color w:val="FF0000"/>
              </w:rPr>
              <w:t>9.后置面板：USB3.0≥7个；音频输入≥2个；音频输出≥1个；RJ45≥1个；串口≥1个。</w:t>
            </w:r>
          </w:p>
          <w:p w14:paraId="292FC25A">
            <w:pPr>
              <w:widowControl w:val="0"/>
              <w:rPr>
                <w:rFonts w:hint="eastAsia"/>
                <w:color w:val="FF0000"/>
              </w:rPr>
            </w:pPr>
            <w:r>
              <w:rPr>
                <w:rFonts w:hint="eastAsia"/>
                <w:color w:val="FF0000"/>
              </w:rPr>
              <w:t>▲10.独立显卡：≥2G独立显卡；</w:t>
            </w:r>
          </w:p>
          <w:p w14:paraId="01D37763">
            <w:pPr>
              <w:widowControl w:val="0"/>
              <w:rPr>
                <w:rFonts w:hint="eastAsia"/>
                <w:color w:val="FF0000"/>
              </w:rPr>
            </w:pPr>
            <w:r>
              <w:rPr>
                <w:rFonts w:hint="eastAsia"/>
                <w:color w:val="FF0000"/>
              </w:rPr>
              <w:t>11.内部插槽：PCIEX16≥2个（支持拓展独立显卡）；PCIEX8≥1个；PCIEX1≥1个；M.2≥1个；SATA≥4个。</w:t>
            </w:r>
          </w:p>
          <w:p w14:paraId="5827A8B4">
            <w:pPr>
              <w:widowControl w:val="0"/>
              <w:rPr>
                <w:rFonts w:hint="eastAsia"/>
                <w:color w:val="FF0000"/>
              </w:rPr>
            </w:pPr>
            <w:r>
              <w:rPr>
                <w:rFonts w:hint="eastAsia"/>
                <w:color w:val="FF0000"/>
              </w:rPr>
              <w:t>12.机箱体积：≤15L。</w:t>
            </w:r>
          </w:p>
          <w:p w14:paraId="17038C82">
            <w:pPr>
              <w:widowControl w:val="0"/>
              <w:rPr>
                <w:rFonts w:hint="eastAsia"/>
                <w:color w:val="FF0000"/>
              </w:rPr>
            </w:pPr>
            <w:r>
              <w:rPr>
                <w:rFonts w:hint="eastAsia"/>
                <w:color w:val="FF0000"/>
              </w:rPr>
              <w:t>13.电源功率：≤200W。</w:t>
            </w:r>
          </w:p>
          <w:p w14:paraId="01BBDAF1">
            <w:pPr>
              <w:widowControl w:val="0"/>
              <w:rPr>
                <w:rFonts w:hint="eastAsia"/>
                <w:color w:val="FF0000"/>
              </w:rPr>
            </w:pPr>
            <w:r>
              <w:rPr>
                <w:rFonts w:hint="eastAsia"/>
                <w:color w:val="FF0000"/>
              </w:rPr>
              <w:t>▲14</w:t>
            </w:r>
            <w:r>
              <w:rPr>
                <w:rFonts w:hint="eastAsia"/>
                <w:color w:val="FF0000"/>
                <w:lang w:val="en-US" w:eastAsia="zh-CN"/>
              </w:rPr>
              <w:t>.</w:t>
            </w:r>
            <w:r>
              <w:rPr>
                <w:rFonts w:hint="eastAsia"/>
                <w:color w:val="FF0000"/>
              </w:rPr>
              <w:t>预装正版国产操作系统。</w:t>
            </w:r>
          </w:p>
          <w:p w14:paraId="59C73910">
            <w:pPr>
              <w:widowControl w:val="0"/>
              <w:rPr>
                <w:rFonts w:hint="eastAsia"/>
                <w:color w:val="FF0000"/>
              </w:rPr>
            </w:pPr>
          </w:p>
          <w:p w14:paraId="6D651EC4">
            <w:pPr>
              <w:widowControl w:val="0"/>
              <w:rPr>
                <w:rFonts w:hint="eastAsia"/>
                <w:color w:val="FF0000"/>
              </w:rPr>
            </w:pPr>
            <w:r>
              <w:rPr>
                <w:rFonts w:hint="eastAsia"/>
                <w:color w:val="FF0000"/>
              </w:rPr>
              <w:t>二、显示器要求</w:t>
            </w:r>
          </w:p>
          <w:p w14:paraId="40025ED1">
            <w:pPr>
              <w:widowControl w:val="0"/>
              <w:rPr>
                <w:rFonts w:hint="eastAsia"/>
                <w:color w:val="FF0000"/>
              </w:rPr>
            </w:pPr>
            <w:r>
              <w:rPr>
                <w:rFonts w:hint="eastAsia"/>
                <w:color w:val="FF0000"/>
              </w:rPr>
              <w:t>1、显示屏≥23.8英寸显示屏幕，分辨率≥1920*1080，屏幕亮度≥250nit，IPS屏；支持VGA≥1，HDMI≥1；</w:t>
            </w:r>
          </w:p>
          <w:p w14:paraId="4E270D2E">
            <w:pPr>
              <w:widowControl w:val="0"/>
              <w:rPr>
                <w:rFonts w:hint="eastAsia"/>
                <w:color w:val="FF0000"/>
              </w:rPr>
            </w:pPr>
            <w:r>
              <w:rPr>
                <w:rFonts w:hint="eastAsia"/>
                <w:color w:val="FF0000"/>
              </w:rPr>
              <w:t>▲2、显示屏幕DCI-P3色域覆盖率≥ 99%；</w:t>
            </w:r>
          </w:p>
          <w:p w14:paraId="5960EC5D">
            <w:pPr>
              <w:widowControl w:val="0"/>
              <w:rPr>
                <w:rFonts w:hint="eastAsia"/>
                <w:color w:val="FF0000"/>
              </w:rPr>
            </w:pPr>
            <w:r>
              <w:rPr>
                <w:rFonts w:hint="eastAsia"/>
                <w:color w:val="FF0000"/>
              </w:rPr>
              <w:t>（响应文件中须出具检验结果符合或者优于以该参数的国家认可的第三方认证（检测）机构出具的带有CMA或CNAS标志的检测报告）；</w:t>
            </w:r>
          </w:p>
          <w:p w14:paraId="3CC612F4">
            <w:pPr>
              <w:widowControl w:val="0"/>
              <w:rPr>
                <w:rFonts w:hint="eastAsia"/>
                <w:color w:val="FF0000"/>
              </w:rPr>
            </w:pPr>
            <w:r>
              <w:rPr>
                <w:rFonts w:hint="eastAsia"/>
                <w:color w:val="FF0000"/>
              </w:rPr>
              <w:t>3、对比度达到1000:1，屏幕刷新率达到75Hz，响应时间≤7ms，可视角度178°/178°；</w:t>
            </w:r>
          </w:p>
          <w:p w14:paraId="3849FF58">
            <w:pPr>
              <w:widowControl w:val="0"/>
              <w:rPr>
                <w:rFonts w:hint="eastAsia"/>
                <w:color w:val="FF0000"/>
              </w:rPr>
            </w:pPr>
            <w:r>
              <w:rPr>
                <w:rFonts w:hint="eastAsia"/>
                <w:color w:val="FF0000"/>
              </w:rPr>
              <w:t>（响应文件中须出具检验结果符合或者优于以该参数的国家认可的第三方认证（检测）机构出具的带有CMA或CNAS标志的检测报告）；</w:t>
            </w:r>
          </w:p>
          <w:p w14:paraId="17B4AEE4">
            <w:pPr>
              <w:widowControl w:val="0"/>
              <w:rPr>
                <w:rFonts w:hint="eastAsia"/>
                <w:color w:val="FF0000"/>
              </w:rPr>
            </w:pPr>
            <w:r>
              <w:rPr>
                <w:rFonts w:hint="eastAsia"/>
                <w:color w:val="FF0000"/>
              </w:rPr>
              <w:t>4、电源能效转换效率≥86%；显示屏分别提供标准模式和炫彩模式选项；</w:t>
            </w:r>
          </w:p>
          <w:p w14:paraId="74395C87">
            <w:pPr>
              <w:widowControl w:val="0"/>
              <w:rPr>
                <w:rFonts w:hint="eastAsia"/>
                <w:color w:val="FF0000"/>
              </w:rPr>
            </w:pPr>
            <w:r>
              <w:rPr>
                <w:rFonts w:hint="eastAsia"/>
                <w:color w:val="FF0000"/>
              </w:rPr>
              <w:t>（响应文件中须出具检验结果符合或者优于以该参数的国家认可的第三方认证（检测）机构出具的带有CMA或CNAS标志的检测报告）；</w:t>
            </w:r>
          </w:p>
          <w:p w14:paraId="540CDD41">
            <w:pPr>
              <w:widowControl w:val="0"/>
              <w:rPr>
                <w:rFonts w:hint="eastAsia"/>
                <w:color w:val="FF0000"/>
              </w:rPr>
            </w:pPr>
            <w:r>
              <w:rPr>
                <w:rFonts w:hint="eastAsia"/>
                <w:color w:val="FF0000"/>
              </w:rPr>
              <w:t>▲6、显示屏幕提供护眼模式，护眼模式下，蓝光比例≤20%；显示器提供阅读模式，上左右边框≤3.6mm，下边框≤16.5mm，屏占比≥92%；</w:t>
            </w:r>
          </w:p>
          <w:p w14:paraId="77A5CE4E">
            <w:pPr>
              <w:widowControl w:val="0"/>
              <w:rPr>
                <w:rFonts w:hint="eastAsia"/>
                <w:color w:val="FF0000"/>
              </w:rPr>
            </w:pPr>
            <w:r>
              <w:rPr>
                <w:rFonts w:hint="eastAsia"/>
                <w:color w:val="FF0000"/>
              </w:rPr>
              <w:t>（响应文件中须出具检验结果符合或者优于以该参数的国家认可的第三方认证（检测）机构出具的带有CMA或CNAS标志的检测报告）；</w:t>
            </w:r>
          </w:p>
          <w:p w14:paraId="6E644B48">
            <w:pPr>
              <w:widowControl w:val="0"/>
              <w:rPr>
                <w:rFonts w:hint="eastAsia"/>
                <w:color w:val="FF0000"/>
              </w:rPr>
            </w:pPr>
          </w:p>
          <w:p w14:paraId="5E3C6298">
            <w:pPr>
              <w:widowControl w:val="0"/>
              <w:rPr>
                <w:rFonts w:hint="eastAsia"/>
                <w:color w:val="FF0000"/>
              </w:rPr>
            </w:pPr>
            <w:r>
              <w:rPr>
                <w:rFonts w:hint="eastAsia"/>
                <w:color w:val="FF0000"/>
              </w:rPr>
              <w:t>三、教师备授课办公软件</w:t>
            </w:r>
          </w:p>
          <w:p w14:paraId="6E32973F">
            <w:pPr>
              <w:widowControl w:val="0"/>
              <w:rPr>
                <w:rFonts w:hint="eastAsia"/>
                <w:color w:val="FF0000"/>
              </w:rPr>
            </w:pPr>
            <w:r>
              <w:rPr>
                <w:rFonts w:hint="eastAsia"/>
                <w:color w:val="FF0000"/>
              </w:rPr>
              <w:t>1.登录方式多样性：支持帐号和手机微信扫码两种登录方式。使用新账号登录时绑定微信ID与帐号的对应关系，绑定后可通过微信扫码登录。</w:t>
            </w:r>
          </w:p>
          <w:p w14:paraId="36460978">
            <w:pPr>
              <w:widowControl w:val="0"/>
              <w:rPr>
                <w:rFonts w:hint="eastAsia"/>
                <w:color w:val="FF0000"/>
              </w:rPr>
            </w:pPr>
            <w:r>
              <w:rPr>
                <w:rFonts w:hint="eastAsia"/>
                <w:color w:val="FF0000"/>
              </w:rPr>
              <w:t>2.终端关联设备：设备支持通过微信扫码绑定学校的设备管理系统，支持设置当前设备使用属性与设备归属用户。</w:t>
            </w:r>
          </w:p>
          <w:p w14:paraId="7A11D719">
            <w:pPr>
              <w:widowControl w:val="0"/>
              <w:rPr>
                <w:rFonts w:hint="eastAsia"/>
                <w:color w:val="FF0000"/>
              </w:rPr>
            </w:pPr>
            <w:r>
              <w:rPr>
                <w:rFonts w:hint="eastAsia"/>
                <w:color w:val="FF0000"/>
              </w:rPr>
              <w:t>3.适配系统：支持在统信系统与麒麟系统使用。</w:t>
            </w:r>
          </w:p>
          <w:p w14:paraId="17BE3016">
            <w:pPr>
              <w:widowControl w:val="0"/>
              <w:rPr>
                <w:rFonts w:hint="eastAsia"/>
                <w:color w:val="FF0000"/>
              </w:rPr>
            </w:pPr>
            <w:r>
              <w:rPr>
                <w:rFonts w:hint="eastAsia"/>
                <w:color w:val="FF0000"/>
              </w:rPr>
              <w:t>4.设备详情：支持设备功能，支持展示当前设备的硬件信息和系统信息。支持查看硬件信息包括：CPU、主板、显卡、硬盘、显示器、网卡、声卡。支持查看系统信息，包括：操作系统、系统激活状态、连接ID、SN号、MAC地址、内外网IP。</w:t>
            </w:r>
          </w:p>
          <w:p w14:paraId="51BB7AC7">
            <w:pPr>
              <w:widowControl w:val="0"/>
              <w:rPr>
                <w:rFonts w:hint="eastAsia"/>
                <w:color w:val="FF0000"/>
              </w:rPr>
            </w:pPr>
            <w:r>
              <w:rPr>
                <w:rFonts w:hint="eastAsia"/>
                <w:color w:val="FF0000"/>
              </w:rPr>
              <w:t>5.设备运行状态：支持查看设备运行状态，包含当前设备内存、CPU使用率、硬盘、系统盘和网速信息。</w:t>
            </w:r>
          </w:p>
          <w:p w14:paraId="41135DAD">
            <w:pPr>
              <w:widowControl w:val="0"/>
              <w:rPr>
                <w:rFonts w:hint="eastAsia"/>
                <w:color w:val="FF0000"/>
              </w:rPr>
            </w:pPr>
            <w:r>
              <w:rPr>
                <w:rFonts w:hint="eastAsia"/>
                <w:color w:val="FF0000"/>
              </w:rPr>
              <w:t>▲6.支持使用文件快传功能，从发送端传送文件至接收端。</w:t>
            </w:r>
          </w:p>
          <w:p w14:paraId="55A98035">
            <w:pPr>
              <w:widowControl w:val="0"/>
              <w:rPr>
                <w:rFonts w:hint="eastAsia"/>
                <w:color w:val="FF0000"/>
              </w:rPr>
            </w:pPr>
            <w:r>
              <w:rPr>
                <w:rFonts w:hint="eastAsia"/>
                <w:color w:val="FF0000"/>
              </w:rPr>
              <w:t>7.文件条件：支持一次发送20个文件；支持发送图片、视频、文档类型的文件。</w:t>
            </w:r>
          </w:p>
          <w:p w14:paraId="4316B71A">
            <w:pPr>
              <w:widowControl w:val="0"/>
              <w:rPr>
                <w:rFonts w:hint="eastAsia"/>
                <w:color w:val="FF0000"/>
              </w:rPr>
            </w:pPr>
            <w:r>
              <w:rPr>
                <w:rFonts w:hint="eastAsia"/>
                <w:color w:val="FF0000"/>
              </w:rPr>
              <w:t>8.文件发送：支持从文件夹或选择文件拖动至文件传输发送区域；支持查看待发送的文件列表；支持在待发送列表中删除文件。</w:t>
            </w:r>
          </w:p>
          <w:p w14:paraId="45E8EB16">
            <w:pPr>
              <w:widowControl w:val="0"/>
              <w:rPr>
                <w:rFonts w:hint="eastAsia"/>
                <w:color w:val="FF0000"/>
              </w:rPr>
            </w:pPr>
            <w:r>
              <w:rPr>
                <w:rFonts w:hint="eastAsia"/>
                <w:color w:val="FF0000"/>
              </w:rPr>
              <w:t>▲9.快捷发送：支持拖动文件至发送区进行文件发送。</w:t>
            </w:r>
          </w:p>
          <w:p w14:paraId="14A77BC0">
            <w:pPr>
              <w:widowControl w:val="0"/>
              <w:rPr>
                <w:rFonts w:hint="eastAsia"/>
                <w:color w:val="FF0000"/>
              </w:rPr>
            </w:pPr>
            <w:r>
              <w:rPr>
                <w:rFonts w:hint="eastAsia"/>
                <w:color w:val="FF0000"/>
              </w:rPr>
              <w:t>▲10.离线暂存：支持一次发送文件给不同的接收端设备。接收端离线时文件能够暂存在云端，接收端设备在线后支持进行自动下载。</w:t>
            </w:r>
          </w:p>
          <w:p w14:paraId="7C659387">
            <w:pPr>
              <w:widowControl w:val="0"/>
              <w:rPr>
                <w:rFonts w:hint="eastAsia"/>
                <w:color w:val="FF0000"/>
              </w:rPr>
            </w:pPr>
            <w:r>
              <w:rPr>
                <w:rFonts w:hint="eastAsia"/>
                <w:color w:val="FF0000"/>
              </w:rPr>
              <w:t>11.其他：支持查看传输文件的发送进度，进度包含上传中和下发文件中。</w:t>
            </w:r>
          </w:p>
          <w:p w14:paraId="6F7CA96E">
            <w:pPr>
              <w:widowControl w:val="0"/>
              <w:rPr>
                <w:rFonts w:hint="eastAsia"/>
                <w:color w:val="FF0000"/>
              </w:rPr>
            </w:pPr>
            <w:r>
              <w:rPr>
                <w:rFonts w:hint="eastAsia"/>
                <w:color w:val="FF0000"/>
              </w:rPr>
              <w:t>▲12.多系统接收：支持发送端发的文件在统信系统、麒麟系统等系统的接收端接收文件。</w:t>
            </w:r>
          </w:p>
          <w:p w14:paraId="53F533CF">
            <w:pPr>
              <w:widowControl w:val="0"/>
              <w:rPr>
                <w:rFonts w:hint="eastAsia"/>
                <w:color w:val="FF0000"/>
              </w:rPr>
            </w:pPr>
            <w:r>
              <w:rPr>
                <w:rFonts w:hint="eastAsia"/>
                <w:color w:val="FF0000"/>
              </w:rPr>
              <w:t>▲13.个性接收夹：支持在接收端创建接收夹；支持设置文件夹名称和图标颜色；接收文件时接收夹支持新文件提醒。</w:t>
            </w:r>
          </w:p>
          <w:p w14:paraId="1BA9E5BB">
            <w:pPr>
              <w:widowControl w:val="0"/>
              <w:rPr>
                <w:rFonts w:hint="eastAsia"/>
                <w:color w:val="FF0000"/>
              </w:rPr>
            </w:pPr>
            <w:r>
              <w:rPr>
                <w:rFonts w:hint="eastAsia"/>
                <w:color w:val="FF0000"/>
              </w:rPr>
              <w:t>▲14.文件列表：支持查看接收端接收夹的文件列表，文件列表包含文件名称、接收时间、接收状态信息；支持打开已下载的文件，支持手动下载未下载和下载失败的文件；支持查看单个文件下载进度与总进度。</w:t>
            </w:r>
          </w:p>
          <w:p w14:paraId="2288C0A0">
            <w:pPr>
              <w:widowControl w:val="0"/>
              <w:rPr>
                <w:rFonts w:hint="eastAsia"/>
                <w:color w:val="FF0000"/>
              </w:rPr>
            </w:pPr>
            <w:r>
              <w:rPr>
                <w:rFonts w:hint="eastAsia"/>
                <w:color w:val="FF0000"/>
              </w:rPr>
              <w:t>▲15.自动下载：支持接收端设备在线状态下自动接收发送端设备发送的文件。</w:t>
            </w:r>
          </w:p>
          <w:p w14:paraId="2262E05E">
            <w:pPr>
              <w:widowControl w:val="0"/>
              <w:rPr>
                <w:rFonts w:hint="eastAsia"/>
                <w:color w:val="FF0000"/>
              </w:rPr>
            </w:pPr>
            <w:r>
              <w:rPr>
                <w:rFonts w:hint="eastAsia"/>
                <w:color w:val="FF0000"/>
              </w:rPr>
              <w:t>▲16.自动清理：支持自动清理超过14天的文件。</w:t>
            </w:r>
          </w:p>
          <w:p w14:paraId="76FB9A84">
            <w:pPr>
              <w:widowControl w:val="0"/>
              <w:rPr>
                <w:rFonts w:hint="eastAsia"/>
                <w:color w:val="FF0000"/>
              </w:rPr>
            </w:pPr>
            <w:r>
              <w:rPr>
                <w:rFonts w:hint="eastAsia"/>
                <w:color w:val="FF0000"/>
              </w:rPr>
              <w:t>▲17.查看：采用云端存储的方式，用户可在发送端软件查看上传的文件；列表展示方式包含列表视图和栅格视图；列表视图中，支持展示文件更新时间和大小。支持在栅格视图中展示小预览图，支持在列表视图中展示文件格式预览图；支持对资料夹文件进行排序，支持按照文件名称、更新时间和大小排序；支持对资料夹文件进行筛选，支持图片、音视频和文档筛选；上传的文件支持用户在手机的移动软件中查看；支持查看当前文件夹的路径，支持点击文件路径跳转至目标文件夹；文件支持根据窗口的显示大小会进行适配，一行显示不同的数量；</w:t>
            </w:r>
          </w:p>
          <w:p w14:paraId="2EAE47F0">
            <w:pPr>
              <w:widowControl w:val="0"/>
              <w:rPr>
                <w:rFonts w:hint="eastAsia"/>
                <w:color w:val="FF0000"/>
              </w:rPr>
            </w:pPr>
            <w:r>
              <w:rPr>
                <w:rFonts w:hint="eastAsia"/>
                <w:color w:val="FF0000"/>
              </w:rPr>
              <w:t>18.编辑：支持在资料夹创建文件夹，支持对文件夹重命名；支持对上传的文件和文件夹进行重命名；支持对文件和文件夹进行移动和批量移动；支持删除文件和文件夹。</w:t>
            </w:r>
          </w:p>
          <w:p w14:paraId="2A32DD45">
            <w:pPr>
              <w:widowControl w:val="0"/>
              <w:rPr>
                <w:rFonts w:hint="eastAsia"/>
                <w:color w:val="FF0000"/>
              </w:rPr>
            </w:pPr>
            <w:r>
              <w:rPr>
                <w:rFonts w:hint="eastAsia"/>
                <w:color w:val="FF0000"/>
              </w:rPr>
              <w:t>19.上传下载：支持上传文件至资料夹中，上传过程中支持查看上传进度和取消上传文件；支持对资料夹文件进行下载，支持设置下载地址，下载过程中按照队列依次下载；支持在下载过程中查看下载进度与完成情况；支持取消正在下载的文件；</w:t>
            </w:r>
          </w:p>
          <w:p w14:paraId="3ECED7A8">
            <w:pPr>
              <w:widowControl w:val="0"/>
              <w:rPr>
                <w:rFonts w:hint="eastAsia"/>
                <w:color w:val="FF0000"/>
              </w:rPr>
            </w:pPr>
            <w:r>
              <w:rPr>
                <w:rFonts w:hint="eastAsia"/>
                <w:color w:val="FF0000"/>
              </w:rPr>
              <w:t>20.预览：支持资料夹中在线预览图片、音视频、文档；支持预览的图片格式有：BMP、GIF、JPE、JPEG、JPG、PNG。支持预览的音频格式有：WAV、MP3、OGG。支持预览的视频格式有：3GP、F4V、M4V、MKV、MP4、OGV、MOV。支持预览的视频格式有：3GP、F4V、M4V、MKV、MP4、OGV、MOV。支持预览的文档格式有：DOC、DOCX、PDF、PPTX、PPT、XLS、XLSX。</w:t>
            </w:r>
          </w:p>
          <w:p w14:paraId="4A1760C5">
            <w:pPr>
              <w:widowControl w:val="0"/>
              <w:rPr>
                <w:rFonts w:hint="eastAsia"/>
                <w:color w:val="FF0000"/>
              </w:rPr>
            </w:pPr>
            <w:r>
              <w:rPr>
                <w:rFonts w:hint="eastAsia"/>
                <w:color w:val="FF0000"/>
              </w:rPr>
              <w:t>▲21.发送到班级：支持在资料夹中把多个文件发送至接收端软件中，接收端软件自动下载该文件。</w:t>
            </w:r>
          </w:p>
          <w:p w14:paraId="44528941">
            <w:pPr>
              <w:widowControl w:val="0"/>
              <w:rPr>
                <w:rFonts w:hint="eastAsia"/>
                <w:color w:val="FF0000"/>
              </w:rPr>
            </w:pPr>
            <w:r>
              <w:rPr>
                <w:rFonts w:hint="eastAsia"/>
                <w:color w:val="FF0000"/>
              </w:rPr>
              <w:t>▲22.快捷打开：支持助手栏添加并展示应用、网站和组件，可通过助手栏打开软件。支持在发送端软件内打开备课、课件库、校本资源、集体备课、作业本、快传、设备；助手栏打开多个软件时支持在窗口内部切换、关闭标签；支持对窗口进行最小化、最大化、关闭操作。</w:t>
            </w:r>
          </w:p>
          <w:p w14:paraId="01E8BA71">
            <w:pPr>
              <w:widowControl w:val="0"/>
              <w:rPr>
                <w:rFonts w:hint="eastAsia"/>
                <w:color w:val="FF0000"/>
              </w:rPr>
            </w:pPr>
            <w:r>
              <w:rPr>
                <w:rFonts w:hint="eastAsia"/>
                <w:color w:val="FF0000"/>
              </w:rPr>
              <w:t>▲23.最近使用课件：助手栏支持展示最近使用的前3条课件，点击课件支持在发送端软件内打开和编辑。</w:t>
            </w:r>
          </w:p>
          <w:p w14:paraId="725C00AC">
            <w:pPr>
              <w:widowControl w:val="0"/>
              <w:rPr>
                <w:rFonts w:hint="eastAsia"/>
                <w:color w:val="FF0000"/>
              </w:rPr>
            </w:pPr>
            <w:r>
              <w:rPr>
                <w:rFonts w:hint="eastAsia"/>
                <w:color w:val="FF0000"/>
              </w:rPr>
              <w:t>24.编辑：支持自定义助手栏内容，支持对内容进行移除、添加、移动位置，变更后数据会跟随当前登陆的账号，登录另一台电脑时会同步当前编辑的结果。</w:t>
            </w:r>
          </w:p>
          <w:p w14:paraId="000F7D87">
            <w:pPr>
              <w:widowControl w:val="0"/>
              <w:rPr>
                <w:rFonts w:hint="eastAsia"/>
                <w:color w:val="FF0000"/>
              </w:rPr>
            </w:pPr>
            <w:r>
              <w:rPr>
                <w:rFonts w:hint="eastAsia"/>
                <w:color w:val="FF0000"/>
              </w:rPr>
              <w:t>25.网站：支持添加网址，添加的网站会呈现在助手栏中，点击即可在发送端软件打开。</w:t>
            </w:r>
          </w:p>
          <w:p w14:paraId="647DBD58">
            <w:pPr>
              <w:widowControl w:val="0"/>
              <w:rPr>
                <w:rFonts w:hint="eastAsia"/>
                <w:color w:val="FF0000"/>
              </w:rPr>
            </w:pPr>
            <w:r>
              <w:rPr>
                <w:rFonts w:hint="eastAsia"/>
                <w:color w:val="FF0000"/>
              </w:rPr>
              <w:t>▲26.移动：支持拖动助手栏到屏幕的任意位置，拖动助手栏至屏幕右侧边缘时会自动收到侧边。；支持鼠标移动至侧标栏区域时调起助手栏，拖动助手栏至其他区域会取消侧边栏收起。</w:t>
            </w:r>
          </w:p>
          <w:p w14:paraId="22AAE3AA">
            <w:pPr>
              <w:widowControl w:val="0"/>
              <w:rPr>
                <w:rFonts w:hint="eastAsia"/>
                <w:color w:val="FF0000"/>
              </w:rPr>
            </w:pPr>
            <w:r>
              <w:rPr>
                <w:rFonts w:hint="eastAsia"/>
                <w:color w:val="FF0000"/>
              </w:rPr>
              <w:t>27.对话式生成：根据输入的文字生成文本，并通过对话的形式表达，支持根据上下文进行连续对话。</w:t>
            </w:r>
          </w:p>
          <w:p w14:paraId="24BCDD89">
            <w:pPr>
              <w:widowControl w:val="0"/>
              <w:rPr>
                <w:rFonts w:hint="eastAsia"/>
                <w:color w:val="FF0000"/>
              </w:rPr>
            </w:pPr>
            <w:r>
              <w:rPr>
                <w:rFonts w:hint="eastAsia"/>
                <w:color w:val="FF0000"/>
              </w:rPr>
              <w:t>28.写作：支持输入主题一键生成活动感想、发言稿、活动策划；支持选择生成的文字数量。</w:t>
            </w:r>
          </w:p>
          <w:p w14:paraId="729FCB41">
            <w:pPr>
              <w:widowControl w:val="0"/>
              <w:rPr>
                <w:rFonts w:hint="eastAsia"/>
                <w:color w:val="FF0000"/>
              </w:rPr>
            </w:pPr>
            <w:r>
              <w:rPr>
                <w:rFonts w:hint="eastAsia"/>
                <w:color w:val="FF0000"/>
              </w:rPr>
              <w:t>▲29.评价：支持生成评语，支持根据输入的学生姓名与评价维度生成评语。</w:t>
            </w:r>
          </w:p>
          <w:p w14:paraId="6F076A7A">
            <w:pPr>
              <w:widowControl w:val="0"/>
              <w:rPr>
                <w:rFonts w:hint="eastAsia"/>
                <w:color w:val="FF0000"/>
              </w:rPr>
            </w:pPr>
            <w:r>
              <w:rPr>
                <w:rFonts w:hint="eastAsia"/>
                <w:color w:val="FF0000"/>
              </w:rPr>
              <w:t>▲30.提示词：进入百宝箱后支持展示至少3条提示词，支持试一试选项一键问询问题。</w:t>
            </w:r>
          </w:p>
          <w:p w14:paraId="460B49B8">
            <w:pPr>
              <w:widowControl w:val="0"/>
              <w:rPr>
                <w:rFonts w:hint="eastAsia"/>
                <w:color w:val="FF0000"/>
              </w:rPr>
            </w:pPr>
            <w:r>
              <w:rPr>
                <w:rFonts w:hint="eastAsia"/>
                <w:color w:val="FF0000"/>
              </w:rPr>
              <w:t>31.生成编辑：支持对生成的内容复制或重新生成。</w:t>
            </w:r>
          </w:p>
          <w:p w14:paraId="7A6ED417">
            <w:pPr>
              <w:widowControl w:val="0"/>
              <w:rPr>
                <w:rFonts w:hint="eastAsia"/>
                <w:color w:val="FF0000"/>
              </w:rPr>
            </w:pPr>
            <w:r>
              <w:rPr>
                <w:rFonts w:hint="eastAsia"/>
                <w:color w:val="FF0000"/>
              </w:rPr>
              <w:t>32.批量生成：支持批量生成学生的奖状，最多支持批量生成5张；可对奖状内容、奖励称号、颁奖人/单位、颁发日期、印章内容进行编辑。支持选择生成的奖状模板。</w:t>
            </w:r>
          </w:p>
          <w:p w14:paraId="0C51249F">
            <w:pPr>
              <w:widowControl w:val="0"/>
              <w:rPr>
                <w:rFonts w:hint="eastAsia"/>
                <w:color w:val="FF0000"/>
              </w:rPr>
            </w:pPr>
            <w:r>
              <w:rPr>
                <w:rFonts w:hint="eastAsia"/>
                <w:color w:val="FF0000"/>
              </w:rPr>
              <w:t>33.下载：支持将生成的奖状一键下载到本地。</w:t>
            </w:r>
          </w:p>
          <w:p w14:paraId="0AAF0F6D">
            <w:pPr>
              <w:widowControl w:val="0"/>
              <w:rPr>
                <w:rFonts w:hint="eastAsia"/>
                <w:color w:val="FF0000"/>
              </w:rPr>
            </w:pPr>
            <w:r>
              <w:rPr>
                <w:rFonts w:hint="eastAsia"/>
                <w:color w:val="FF0000"/>
              </w:rPr>
              <w:t>34.截屏：支持自定义框选截屏区域；截取的内容支持使用画笔标注，支持选择画笔粗细和画笔颜色；支持提取文字功能，支持对识别截图截取文字内容，支持对识别的文字进行复制；支持保存截图到电脑本地；支持保存截图到剪切板，并能粘贴到目标位置；支持快捷键唤起截图功能。</w:t>
            </w:r>
          </w:p>
          <w:p w14:paraId="1CD0D696">
            <w:pPr>
              <w:widowControl w:val="0"/>
              <w:rPr>
                <w:rFonts w:hint="eastAsia"/>
                <w:color w:val="FF0000"/>
              </w:rPr>
            </w:pPr>
            <w:r>
              <w:rPr>
                <w:rFonts w:hint="eastAsia"/>
                <w:color w:val="FF0000"/>
              </w:rPr>
              <w:t>35.录屏：支持录屏功能，支持对录制区域（全屏录制/区域录制）、音频设备、摄像头设备进行录制；支持切换录制的分辨率。</w:t>
            </w:r>
          </w:p>
          <w:p w14:paraId="68754549">
            <w:pPr>
              <w:widowControl w:val="0"/>
              <w:rPr>
                <w:rFonts w:hint="eastAsia"/>
                <w:color w:val="FF0000"/>
              </w:rPr>
            </w:pPr>
            <w:r>
              <w:rPr>
                <w:rFonts w:hint="eastAsia"/>
                <w:color w:val="FF0000"/>
              </w:rPr>
              <w:t>36.录制中：支持在录制过程中使用画笔和擦除工具；</w:t>
            </w:r>
          </w:p>
          <w:p w14:paraId="794144EF">
            <w:pPr>
              <w:widowControl w:val="0"/>
              <w:rPr>
                <w:rFonts w:hint="eastAsia"/>
                <w:color w:val="FF0000"/>
              </w:rPr>
            </w:pPr>
            <w:r>
              <w:rPr>
                <w:rFonts w:hint="eastAsia"/>
                <w:color w:val="FF0000"/>
              </w:rPr>
              <w:t>37.录制结束：录制结束后支持对录屏视频进行文字快剪、视频编辑。</w:t>
            </w:r>
          </w:p>
          <w:p w14:paraId="680121DD">
            <w:pPr>
              <w:widowControl w:val="0"/>
              <w:rPr>
                <w:rFonts w:hint="eastAsia"/>
                <w:color w:val="FF0000"/>
              </w:rPr>
            </w:pPr>
            <w:r>
              <w:rPr>
                <w:rFonts w:hint="eastAsia"/>
                <w:color w:val="FF0000"/>
              </w:rPr>
              <w:t>▲38.传屏：支持传屏功能，将发送端设备的屏幕同步到交互智能平板；传屏成功后支持设备反向触控发送端设备。</w:t>
            </w:r>
          </w:p>
          <w:p w14:paraId="2D8F91D3">
            <w:pPr>
              <w:widowControl w:val="0"/>
              <w:rPr>
                <w:rFonts w:hint="eastAsia"/>
                <w:color w:val="FF0000"/>
              </w:rPr>
            </w:pPr>
            <w:r>
              <w:rPr>
                <w:rFonts w:hint="eastAsia"/>
                <w:color w:val="FF0000"/>
              </w:rPr>
              <w:t>▲39.设备连接：支持通过连接码的方式与交互智能平板建立传屏关系；</w:t>
            </w:r>
          </w:p>
          <w:p w14:paraId="1AC04D8C">
            <w:pPr>
              <w:widowControl w:val="0"/>
              <w:rPr>
                <w:rFonts w:hint="eastAsia"/>
                <w:color w:val="FF0000"/>
              </w:rPr>
            </w:pPr>
            <w:r>
              <w:rPr>
                <w:rFonts w:hint="eastAsia"/>
                <w:color w:val="FF0000"/>
              </w:rPr>
              <w:t>▲40.勿扰模式：支持勿扰模式，该模式下其他设备无法传屏至交互智能平板设备。</w:t>
            </w:r>
          </w:p>
          <w:p w14:paraId="71607294">
            <w:pPr>
              <w:widowControl w:val="0"/>
              <w:rPr>
                <w:rFonts w:hint="eastAsia"/>
                <w:color w:val="FF0000"/>
              </w:rPr>
            </w:pPr>
            <w:r>
              <w:rPr>
                <w:rFonts w:hint="eastAsia"/>
                <w:color w:val="FF0000"/>
              </w:rPr>
              <w:t>▲41.文件预判：拖动文件时，支持根据文件判定并展示需要的功能项，文件拖入功能项后打开对应的功能；功能包括PDF转格式、图片转格式、文字快剪、提取文字、发送到大屏、发送到班级；右键点击文件时，支持根据文件判定并展示需要的功能项，选择后打开对应的功能；功能包括PDF转格式、图片转格式、文字快剪、提取文字、发送到大屏、发送到资料夹。</w:t>
            </w:r>
          </w:p>
          <w:p w14:paraId="3BFBA62B">
            <w:pPr>
              <w:widowControl w:val="0"/>
              <w:rPr>
                <w:rFonts w:hint="eastAsia"/>
                <w:color w:val="FF0000"/>
              </w:rPr>
            </w:pPr>
            <w:r>
              <w:rPr>
                <w:rFonts w:hint="eastAsia"/>
                <w:color w:val="FF0000"/>
              </w:rPr>
              <w:t>42.PDF格式转化：支持在线对PDF的文件进行转换格式，支持转换格式为XLSX、DOCX、PPT；转换后文件内容的排布与源PDF保持一致；PDF文件转换后支持下载文件至电脑本地，支持对转换后的文件进行编辑，包括编辑文本、编辑表格、编辑图片。</w:t>
            </w:r>
          </w:p>
          <w:p w14:paraId="729FC24D">
            <w:pPr>
              <w:widowControl w:val="0"/>
              <w:rPr>
                <w:rFonts w:hint="eastAsia"/>
                <w:color w:val="FF0000"/>
              </w:rPr>
            </w:pPr>
            <w:r>
              <w:rPr>
                <w:rFonts w:hint="eastAsia"/>
                <w:color w:val="FF0000"/>
              </w:rPr>
              <w:t>▲43.图片转格式：支持对图片进行在线转换格式；支持转换格式的图片原始格式包括：bmp、jpg、jpeg、png、tiff、webp、heic；支持转换为jpg、png；图片转换格式后支持下载图片到电脑本地。</w:t>
            </w:r>
          </w:p>
          <w:p w14:paraId="7563E42C">
            <w:pPr>
              <w:widowControl w:val="0"/>
              <w:rPr>
                <w:rFonts w:hint="eastAsia"/>
                <w:color w:val="FF0000"/>
              </w:rPr>
            </w:pPr>
            <w:r>
              <w:rPr>
                <w:rFonts w:hint="eastAsia"/>
                <w:color w:val="FF0000"/>
              </w:rPr>
              <w:t>44.提取文字：支持对图片进行在线文字识别；识别后支持对文字进行复制。</w:t>
            </w:r>
          </w:p>
          <w:p w14:paraId="281EA927">
            <w:pPr>
              <w:widowControl w:val="0"/>
              <w:rPr>
                <w:rFonts w:hint="eastAsia"/>
                <w:color w:val="FF0000"/>
              </w:rPr>
            </w:pPr>
            <w:r>
              <w:rPr>
                <w:rFonts w:hint="eastAsia"/>
                <w:color w:val="FF0000"/>
              </w:rPr>
              <w:t>▲45.文字快剪：支持提取视频的声音并转换成文字，自动识别出语气词，支持手动选择文字并删除。</w:t>
            </w:r>
          </w:p>
          <w:p w14:paraId="11E8FFB1">
            <w:pPr>
              <w:widowControl w:val="0"/>
              <w:rPr>
                <w:rFonts w:hint="eastAsia"/>
                <w:color w:val="FF0000"/>
              </w:rPr>
            </w:pPr>
            <w:r>
              <w:rPr>
                <w:rFonts w:hint="eastAsia"/>
                <w:color w:val="FF0000"/>
              </w:rPr>
              <w:t>46.远程关联：学校管理员支持通过手机微信扫描接收端软件的二维码登录，支持选择学校并输入设备名称，接收端软件即可完成关联学校；支持学校管理员修改已关联的设备名称。普通老师加入该学校后可在发送端软件中看到该设备并可远程创建接收夹。</w:t>
            </w:r>
          </w:p>
          <w:p w14:paraId="48D45F45">
            <w:pPr>
              <w:widowControl w:val="0"/>
              <w:rPr>
                <w:rFonts w:hint="eastAsia"/>
                <w:color w:val="FF0000"/>
              </w:rPr>
            </w:pPr>
          </w:p>
          <w:p w14:paraId="6327C2F9">
            <w:pPr>
              <w:widowControl w:val="0"/>
              <w:rPr>
                <w:rFonts w:hint="eastAsia"/>
                <w:color w:val="FF0000"/>
              </w:rPr>
            </w:pPr>
            <w:r>
              <w:rPr>
                <w:rFonts w:hint="eastAsia"/>
                <w:color w:val="FF0000"/>
              </w:rPr>
              <w:t>四、教研备课管理平台和互动教学要求：</w:t>
            </w:r>
          </w:p>
          <w:p w14:paraId="05F243A9">
            <w:pPr>
              <w:widowControl w:val="0"/>
              <w:rPr>
                <w:rFonts w:hint="eastAsia"/>
                <w:color w:val="FF0000"/>
              </w:rPr>
            </w:pPr>
            <w:r>
              <w:rPr>
                <w:rFonts w:hint="eastAsia"/>
                <w:color w:val="FF0000"/>
              </w:rPr>
              <w:t>1、为学校提供教研全流程管理服务，包含教学目标与计划、教学设计、集体备课、听课评课、班级氛围的流程管理和数据分析。管理者在教学检查中可以掌握以教研组、备课组为单位的教学资源和集体备数据，了解老师的教学备课工作。</w:t>
            </w:r>
          </w:p>
          <w:p w14:paraId="342CE523">
            <w:pPr>
              <w:widowControl w:val="0"/>
              <w:rPr>
                <w:rFonts w:hint="eastAsia"/>
                <w:color w:val="FF0000"/>
              </w:rPr>
            </w:pPr>
            <w:r>
              <w:rPr>
                <w:rFonts w:hint="eastAsia"/>
                <w:color w:val="FF0000"/>
              </w:rPr>
              <w:t>▲2、支持查看各年级和学科的教研组的教学资源覆盖情况和集体备课数据。支持以时间、教材进行数据筛选，推动老师的备课进度。支持查看备课组下成员的课程资源和集体备课数据概览，支持查看每位成员在不同教材章节下的课程资源上传/获取情况和集体备课的研讨情况。支持以时间、老师、教材章节进行数据筛选。支持导出备课组下全部成员的课程资源和集体备课数据。（投标文件中提供检验结果符合或者优于以该参数的国家认可的第三方认证（检测）机构出具的带有CMA或CNAS标志的检测报告）</w:t>
            </w:r>
          </w:p>
          <w:p w14:paraId="180D7FEF">
            <w:pPr>
              <w:widowControl w:val="0"/>
              <w:rPr>
                <w:rFonts w:hint="eastAsia"/>
                <w:color w:val="FF0000"/>
              </w:rPr>
            </w:pPr>
            <w:r>
              <w:rPr>
                <w:rFonts w:hint="eastAsia"/>
                <w:color w:val="FF0000"/>
              </w:rPr>
              <w:t>3、可查看集体备课的开展统计情况及老师参与集体备课的记录。支持以时间、学科进行筛选，支持输入集体备课名称/主备人名称，进行全局搜索。支持查看集体备课名称，主备人、所属学科、年级、参备老师数、稿数、浏览数、评论数、批注数、评论点赞数、集体备课状态和创建时间等数据。</w:t>
            </w:r>
          </w:p>
          <w:p w14:paraId="36DEFA85">
            <w:pPr>
              <w:widowControl w:val="0"/>
              <w:rPr>
                <w:rFonts w:hint="eastAsia"/>
                <w:color w:val="FF0000"/>
              </w:rPr>
            </w:pPr>
            <w:r>
              <w:rPr>
                <w:rFonts w:hint="eastAsia"/>
                <w:color w:val="FF0000"/>
              </w:rPr>
              <w:t>▲4、管理员可随时查看学校集体备课详情，查看集体备课的详细内容并给予指导评论，同时支持管理员删除集体备课活动和导出集体备课记录数据表格。支持查看以老师维度统计的集体备课记录，查看老师所属学段学科、发起次数、参备次数、评论数、批注数、最近集体备课时间等数据。支持管理员导出教师集体备课记录数据表格。（投标文件中提供检验结果符合或者优于以该参数的国家认可的第三方认证（检测）机构出具的带有CMA或CNAS标志的检测报告）</w:t>
            </w:r>
          </w:p>
          <w:p w14:paraId="3B97D434">
            <w:pPr>
              <w:widowControl w:val="0"/>
              <w:rPr>
                <w:rFonts w:hint="eastAsia"/>
                <w:color w:val="FF0000"/>
              </w:rPr>
            </w:pPr>
            <w:r>
              <w:rPr>
                <w:rFonts w:hint="eastAsia"/>
                <w:color w:val="FF0000"/>
              </w:rPr>
              <w:t>▲5、可查看课程的评价统计情况及教师对课程的评价记录。支持以时间、评课表、学科进行筛选，支持输入课程名称/老师名称，进行全局搜索。支持查看以课程维度的评价记录，包括课件名称、授课老师、所属学科、本节课的评课人数、总评价平均分及授课时间，通过点击操作“详情”可查看具体评价情况，支持管理员删除评价记录和导出课程评价记录数据表格。</w:t>
            </w:r>
          </w:p>
          <w:p w14:paraId="73859434">
            <w:pPr>
              <w:widowControl w:val="0"/>
              <w:rPr>
                <w:rFonts w:hint="eastAsia"/>
                <w:color w:val="FF0000"/>
              </w:rPr>
            </w:pPr>
            <w:r>
              <w:rPr>
                <w:rFonts w:hint="eastAsia"/>
                <w:color w:val="FF0000"/>
              </w:rPr>
              <w:t>▲6、点击课程详情可以查看评课报告，可以查看该课程的总分和各板块得分，支持导出为PDF文件。支持查看课程下所有老师的评课表，可以批量导出为Word文件。支持查看以教师维度统计的评课记录，查看教师的所属学科，评课节数，点击操作“详情”，可查看该教师详细的评课记录，包括课程名称，授课老师和评课时间，进入详情可查看该教师对该课程的评价记录。（投标文件中提供检验结果符合或者优于以该参数的国家认可的第三方认证（检测）机构出具的带有CMA或CNAS标志的检测报告）</w:t>
            </w:r>
          </w:p>
          <w:p w14:paraId="2BE8A399">
            <w:pPr>
              <w:widowControl w:val="0"/>
              <w:rPr>
                <w:rFonts w:hint="eastAsia"/>
                <w:color w:val="FF0000"/>
              </w:rPr>
            </w:pPr>
            <w:r>
              <w:rPr>
                <w:rFonts w:hint="eastAsia"/>
                <w:color w:val="FF0000"/>
              </w:rPr>
              <w:t>▲7、支持导出教师评课记录数据表格。支持自定义设置学校专属评课表，系统预置中央电教馆“一师一优课，一课一名师”、“教师通用评课表-评分制”模板供使用。点评支持评分题、主观题等评价及拍照上传图片等功能。支持发布多张评课表，同时开展多学科、多个评课活动。评课表支持在线预览和设置权限，听课老师权限可以选择公开，无需登录/需要登录用户账号/绑定本校且需登录用户账号等选项。（投标文件中提供检验结果符合或者优于以该参数的国家认可的第三方认证（检测）机构出具的带有CMA或CNAS标志的检测报告）</w:t>
            </w:r>
          </w:p>
          <w:p w14:paraId="64382FA1">
            <w:pPr>
              <w:widowControl w:val="0"/>
              <w:rPr>
                <w:rFonts w:hint="eastAsia"/>
                <w:color w:val="FF0000"/>
              </w:rPr>
            </w:pPr>
            <w:r>
              <w:rPr>
                <w:rFonts w:hint="eastAsia"/>
                <w:color w:val="FF0000"/>
              </w:rPr>
              <w:t>▲8、一键开课：教师可一键开课生成课程海报；学生扫描课程海报微信二维码即可加入直播课堂，无需额外安装APP；（投标文件中提供检验结果符合或者优于以该参数的国家认可的第三方认证（检测）机构出具的带有CMA或CNAS标志的检测报告）</w:t>
            </w:r>
          </w:p>
          <w:p w14:paraId="2436E65A">
            <w:pPr>
              <w:widowControl w:val="0"/>
              <w:numPr>
                <w:ilvl w:val="0"/>
                <w:numId w:val="2"/>
              </w:numPr>
              <w:rPr>
                <w:rFonts w:hint="eastAsia"/>
                <w:color w:val="FF0000"/>
              </w:rPr>
            </w:pPr>
            <w:r>
              <w:rPr>
                <w:rFonts w:hint="eastAsia"/>
                <w:color w:val="FF0000"/>
              </w:rPr>
              <w:t>其他要求：</w:t>
            </w:r>
          </w:p>
          <w:p w14:paraId="0C2E5AA4">
            <w:pPr>
              <w:widowControl w:val="0"/>
              <w:numPr>
                <w:ilvl w:val="0"/>
                <w:numId w:val="0"/>
              </w:numPr>
              <w:rPr>
                <w:rFonts w:hint="default" w:eastAsia="宋体"/>
                <w:color w:val="FF0000"/>
                <w:lang w:val="en-US" w:eastAsia="zh-CN"/>
              </w:rPr>
            </w:pPr>
            <w:r>
              <w:rPr>
                <w:rFonts w:hint="eastAsia"/>
                <w:color w:val="FF0000"/>
                <w:lang w:val="en-US" w:eastAsia="zh-CN"/>
              </w:rPr>
              <w:t>1</w:t>
            </w:r>
            <w:r>
              <w:rPr>
                <w:rFonts w:hint="eastAsia"/>
                <w:color w:val="FF0000"/>
              </w:rPr>
              <w:t>、</w:t>
            </w:r>
            <w:r>
              <w:rPr>
                <w:rFonts w:hint="eastAsia" w:ascii="宋体" w:hAnsi="宋体" w:cs="Times New Roman"/>
                <w:color w:val="FF0000"/>
                <w:sz w:val="22"/>
                <w:szCs w:val="24"/>
                <w:lang w:val="en-US" w:eastAsia="zh-CN"/>
              </w:rPr>
              <w:t>服务：三年上门保修，项目当地市需具有原厂品牌的售后服务站点。</w:t>
            </w:r>
          </w:p>
          <w:p w14:paraId="03484540">
            <w:pPr>
              <w:widowControl w:val="0"/>
              <w:rPr>
                <w:rFonts w:hint="eastAsia"/>
                <w:color w:val="FF0000"/>
              </w:rPr>
            </w:pPr>
            <w:r>
              <w:rPr>
                <w:rFonts w:hint="eastAsia"/>
                <w:color w:val="FF0000"/>
                <w:lang w:val="en-US" w:eastAsia="zh-CN"/>
              </w:rPr>
              <w:t>2</w:t>
            </w:r>
            <w:r>
              <w:rPr>
                <w:rFonts w:hint="eastAsia"/>
                <w:color w:val="FF0000"/>
              </w:rPr>
              <w:t>、为确保货物质量及原厂品质，中标供应商在正式供货时必须提供生产厂家针对此项目的售后服务保证原件、供货证明和技术参数确认函原件，否则采购方将不予验收通过。</w:t>
            </w:r>
          </w:p>
          <w:p w14:paraId="253E758D">
            <w:pPr>
              <w:widowControl w:val="0"/>
              <w:rPr>
                <w:rFonts w:hint="eastAsia" w:ascii="宋体" w:hAnsi="宋体" w:cs="Times New Roman"/>
                <w:color w:val="000000"/>
                <w:sz w:val="22"/>
                <w:szCs w:val="24"/>
                <w:lang w:val="en-US" w:eastAsia="zh-CN"/>
              </w:rPr>
            </w:pPr>
            <w:r>
              <w:rPr>
                <w:rFonts w:hint="eastAsia"/>
                <w:color w:val="FF0000"/>
                <w:lang w:val="en-US" w:eastAsia="zh-CN"/>
              </w:rPr>
              <w:t>3</w:t>
            </w:r>
            <w:r>
              <w:rPr>
                <w:rFonts w:hint="eastAsia"/>
                <w:color w:val="FF0000"/>
              </w:rPr>
              <w:t>、标记“▲”号条款为重要技术参数，投标人必须满足否则中标无效。中标公示期内若有其他投标人质疑情况下，中标单位必须提供与标书技术要求及功能符合的全部样品一套至用户处进行整体性能与标书文件核对，协助质疑答复。</w:t>
            </w:r>
          </w:p>
        </w:tc>
        <w:tc>
          <w:tcPr>
            <w:tcW w:w="612" w:type="dxa"/>
            <w:shd w:val="clear" w:color="auto" w:fill="auto"/>
            <w:vAlign w:val="center"/>
          </w:tcPr>
          <w:p w14:paraId="5FF537EF">
            <w:pPr>
              <w:widowControl w:val="0"/>
              <w:spacing w:beforeLines="0" w:afterLines="0"/>
              <w:jc w:val="center"/>
              <w:rPr>
                <w:rFonts w:hint="eastAsia" w:ascii="宋体" w:hAnsi="宋体" w:cs="Times New Roman"/>
                <w:color w:val="000000"/>
                <w:sz w:val="22"/>
                <w:szCs w:val="24"/>
                <w:lang w:val="en-US" w:eastAsia="zh-CN"/>
              </w:rPr>
            </w:pPr>
            <w:r>
              <w:rPr>
                <w:rFonts w:hint="eastAsia" w:ascii="宋体" w:hAnsi="宋体" w:cs="Times New Roman"/>
                <w:color w:val="000000"/>
                <w:sz w:val="22"/>
                <w:szCs w:val="24"/>
                <w:lang w:val="en-US" w:eastAsia="zh-CN"/>
              </w:rPr>
              <w:t>1</w:t>
            </w:r>
          </w:p>
        </w:tc>
        <w:tc>
          <w:tcPr>
            <w:tcW w:w="638" w:type="dxa"/>
            <w:shd w:val="clear" w:color="auto" w:fill="auto"/>
            <w:vAlign w:val="center"/>
          </w:tcPr>
          <w:p w14:paraId="56C2F844">
            <w:pPr>
              <w:widowControl w:val="0"/>
              <w:spacing w:beforeLines="0" w:afterLines="0"/>
              <w:jc w:val="center"/>
              <w:rPr>
                <w:rFonts w:hint="eastAsia" w:ascii="宋体" w:hAnsi="宋体" w:cs="Times New Roman"/>
                <w:color w:val="000000"/>
                <w:sz w:val="22"/>
                <w:szCs w:val="24"/>
                <w:lang w:val="en-US" w:eastAsia="zh-CN"/>
              </w:rPr>
            </w:pPr>
            <w:r>
              <w:rPr>
                <w:rFonts w:hint="eastAsia" w:ascii="宋体" w:hAnsi="宋体" w:cs="Times New Roman"/>
                <w:color w:val="000000"/>
                <w:sz w:val="22"/>
                <w:szCs w:val="24"/>
              </w:rPr>
              <w:t>套</w:t>
            </w:r>
          </w:p>
        </w:tc>
      </w:tr>
      <w:tr w14:paraId="2533A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shd w:val="clear" w:color="auto" w:fill="auto"/>
            <w:vAlign w:val="center"/>
          </w:tcPr>
          <w:p w14:paraId="18ABEAC4">
            <w:pPr>
              <w:widowControl w:val="0"/>
              <w:spacing w:beforeLines="0" w:afterLines="0"/>
              <w:jc w:val="center"/>
              <w:rPr>
                <w:rFonts w:hint="eastAsia" w:ascii="宋体" w:hAnsi="宋体" w:eastAsia="宋体"/>
                <w:color w:val="000000"/>
                <w:kern w:val="2"/>
                <w:sz w:val="22"/>
                <w:szCs w:val="24"/>
                <w:lang w:val="en-US" w:eastAsia="zh-CN"/>
              </w:rPr>
            </w:pPr>
            <w:bookmarkStart w:id="2" w:name="_GoBack"/>
            <w:bookmarkEnd w:id="2"/>
            <w:r>
              <w:rPr>
                <w:rFonts w:hint="eastAsia" w:ascii="宋体" w:hAnsi="宋体"/>
                <w:color w:val="000000"/>
                <w:sz w:val="22"/>
                <w:szCs w:val="24"/>
              </w:rPr>
              <w:t>20</w:t>
            </w:r>
          </w:p>
        </w:tc>
        <w:tc>
          <w:tcPr>
            <w:tcW w:w="1537" w:type="dxa"/>
            <w:shd w:val="clear" w:color="auto" w:fill="auto"/>
            <w:vAlign w:val="center"/>
          </w:tcPr>
          <w:p w14:paraId="4E9570B9">
            <w:pPr>
              <w:widowControl w:val="0"/>
              <w:spacing w:beforeLines="0" w:afterLines="0"/>
              <w:jc w:val="center"/>
              <w:rPr>
                <w:rFonts w:hint="eastAsia" w:ascii="宋体" w:hAnsi="宋体" w:cs="Times New Roman"/>
                <w:color w:val="000000"/>
                <w:sz w:val="22"/>
                <w:szCs w:val="24"/>
                <w:lang w:val="en-US" w:eastAsia="zh-CN"/>
              </w:rPr>
            </w:pPr>
            <w:r>
              <w:rPr>
                <w:rFonts w:hint="eastAsia" w:ascii="宋体" w:hAnsi="宋体" w:cs="Times New Roman"/>
                <w:color w:val="000000"/>
                <w:sz w:val="22"/>
                <w:szCs w:val="24"/>
              </w:rPr>
              <w:t>音乐放松椅</w:t>
            </w:r>
          </w:p>
        </w:tc>
        <w:tc>
          <w:tcPr>
            <w:tcW w:w="6313" w:type="dxa"/>
            <w:shd w:val="clear" w:color="auto" w:fill="auto"/>
            <w:vAlign w:val="center"/>
          </w:tcPr>
          <w:p w14:paraId="6EFC032D">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产品描述:</w:t>
            </w:r>
          </w:p>
          <w:p w14:paraId="555F705D">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1、电动音乐放松椅 1台</w:t>
            </w:r>
          </w:p>
          <w:p w14:paraId="24735873">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a）产品尺寸：</w:t>
            </w:r>
          </w:p>
          <w:p w14:paraId="6FFB1927">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椅背收起：长100CM×宽82CM×高100CM</w:t>
            </w:r>
          </w:p>
          <w:p w14:paraId="46E2BC8F">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椅背展开：长100CM×宽160CM×高80CM</w:t>
            </w:r>
          </w:p>
          <w:p w14:paraId="561EF610">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b）外观材质及设计：pu皮面料，不低于1.8MM厚，可变钢架，      c）独立控制系统：按键控制音乐放松椅伸缩，靠背100度-180度，腿部90度-180度任意调节。</w:t>
            </w:r>
          </w:p>
          <w:p w14:paraId="205FE8E0">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d）播音系统：内置高保真音箱。</w:t>
            </w:r>
          </w:p>
          <w:p w14:paraId="20612D5E">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2、音乐放松减压系统：</w:t>
            </w:r>
          </w:p>
          <w:p w14:paraId="5E28C0D9">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采用15寸高清播放器 1个，支持音乐、心理图片、心理文章、心理电影等多种格式文件。</w:t>
            </w:r>
          </w:p>
          <w:p w14:paraId="55E4AEFF">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①内置心理视听资料含心理音乐：放松类、激扬类、冥想类、脑波共振类、抒发类、振奋类、中医五行类、自我催眠类等类别；</w:t>
            </w:r>
          </w:p>
          <w:p w14:paraId="283CFCFA">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②心理图片：放松图、错觉图</w:t>
            </w:r>
          </w:p>
          <w:p w14:paraId="75BC341F">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③心理视频：催眠用摇摆钟视频、放松训练教学视频、经典眩晕视频、太空遐想视频</w:t>
            </w:r>
          </w:p>
          <w:p w14:paraId="6583858B">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④心理电影：3部</w:t>
            </w:r>
          </w:p>
          <w:p w14:paraId="752B7A14">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⑤心理小常识：txt文字版38篇</w:t>
            </w:r>
          </w:p>
          <w:p w14:paraId="6F8C9B54">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3、音乐治疗指导书籍 1本：音乐治疗学的入门读物，介绍了音乐治疗的定义、发展历史、基本原理、治疗关系、方法技术、治疗程序，及其在儿童病领域、精神科疾病领域和老年病领域的应用。</w:t>
            </w:r>
          </w:p>
          <w:p w14:paraId="1B9CC6B8">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4、铝制万向显示器支架 1个（支持方位调节，便于使用者调节显示器角度调整到适合自己的位置放置）。</w:t>
            </w:r>
          </w:p>
          <w:p w14:paraId="43EB881D">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5、简易工具包 1个 （便于显示器及显示器支架的安装）。</w:t>
            </w:r>
          </w:p>
          <w:p w14:paraId="3B5233E8">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产品清单：</w:t>
            </w:r>
          </w:p>
          <w:p w14:paraId="5EB936C7">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1、pu皮革电动音乐放松椅1台</w:t>
            </w:r>
          </w:p>
          <w:p w14:paraId="142D8717">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2、音乐放松椅电源线 1根</w:t>
            </w:r>
          </w:p>
          <w:p w14:paraId="7652CB16">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3、音乐治疗指导书籍1本</w:t>
            </w:r>
          </w:p>
          <w:p w14:paraId="6D8D92D8">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4、简易工具包1个</w:t>
            </w:r>
          </w:p>
          <w:p w14:paraId="2314229F">
            <w:pPr>
              <w:widowControl w:val="0"/>
              <w:spacing w:beforeLines="0" w:afterLines="0"/>
              <w:jc w:val="both"/>
              <w:rPr>
                <w:rFonts w:hint="eastAsia" w:ascii="宋体" w:hAnsi="宋体" w:cs="Times New Roman"/>
                <w:color w:val="000000"/>
                <w:sz w:val="22"/>
                <w:szCs w:val="24"/>
                <w:lang w:val="en-US" w:eastAsia="zh-CN"/>
              </w:rPr>
            </w:pPr>
            <w:r>
              <w:rPr>
                <w:rFonts w:hint="eastAsia" w:ascii="宋体" w:hAnsi="宋体" w:cs="Times New Roman"/>
                <w:color w:val="000000"/>
                <w:sz w:val="22"/>
                <w:szCs w:val="24"/>
              </w:rPr>
              <w:t>5、十五寸触控显示器 1个(内含音乐放松减压系统)           6、显示器支架1个</w:t>
            </w:r>
          </w:p>
        </w:tc>
        <w:tc>
          <w:tcPr>
            <w:tcW w:w="612" w:type="dxa"/>
            <w:shd w:val="clear" w:color="auto" w:fill="auto"/>
            <w:vAlign w:val="center"/>
          </w:tcPr>
          <w:p w14:paraId="691CDA87">
            <w:pPr>
              <w:widowControl w:val="0"/>
              <w:spacing w:beforeLines="0" w:afterLines="0"/>
              <w:jc w:val="center"/>
              <w:rPr>
                <w:rFonts w:hint="eastAsia" w:ascii="宋体" w:hAnsi="宋体" w:cs="Times New Roman"/>
                <w:color w:val="000000"/>
                <w:sz w:val="22"/>
                <w:szCs w:val="24"/>
                <w:lang w:val="en-US" w:eastAsia="zh-CN"/>
              </w:rPr>
            </w:pPr>
            <w:r>
              <w:rPr>
                <w:rFonts w:hint="eastAsia" w:ascii="宋体" w:hAnsi="宋体" w:cs="Times New Roman"/>
                <w:color w:val="000000"/>
                <w:sz w:val="22"/>
                <w:szCs w:val="24"/>
              </w:rPr>
              <w:t>1</w:t>
            </w:r>
          </w:p>
        </w:tc>
        <w:tc>
          <w:tcPr>
            <w:tcW w:w="638" w:type="dxa"/>
            <w:shd w:val="clear" w:color="auto" w:fill="auto"/>
            <w:vAlign w:val="center"/>
          </w:tcPr>
          <w:p w14:paraId="12A75B56">
            <w:pPr>
              <w:widowControl w:val="0"/>
              <w:spacing w:beforeLines="0" w:afterLines="0"/>
              <w:jc w:val="center"/>
              <w:rPr>
                <w:rFonts w:hint="eastAsia" w:ascii="宋体" w:hAnsi="宋体" w:cs="Times New Roman"/>
                <w:color w:val="000000"/>
                <w:sz w:val="22"/>
                <w:szCs w:val="24"/>
                <w:lang w:val="en-US" w:eastAsia="zh-CN"/>
              </w:rPr>
            </w:pPr>
            <w:r>
              <w:rPr>
                <w:rFonts w:hint="eastAsia" w:ascii="宋体" w:hAnsi="宋体" w:cs="Times New Roman"/>
                <w:color w:val="000000"/>
                <w:sz w:val="22"/>
                <w:szCs w:val="24"/>
              </w:rPr>
              <w:t>套</w:t>
            </w:r>
          </w:p>
        </w:tc>
      </w:tr>
      <w:tr w14:paraId="30E8C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shd w:val="clear" w:color="auto" w:fill="auto"/>
            <w:vAlign w:val="center"/>
          </w:tcPr>
          <w:p w14:paraId="42746A29">
            <w:pPr>
              <w:widowControl w:val="0"/>
              <w:spacing w:beforeLines="0" w:afterLines="0"/>
              <w:jc w:val="center"/>
              <w:rPr>
                <w:rFonts w:hint="eastAsia" w:ascii="宋体" w:hAnsi="宋体" w:eastAsia="宋体"/>
                <w:color w:val="000000"/>
                <w:kern w:val="2"/>
                <w:sz w:val="22"/>
                <w:szCs w:val="24"/>
                <w:lang w:val="en-US" w:eastAsia="zh-CN"/>
              </w:rPr>
            </w:pPr>
            <w:r>
              <w:rPr>
                <w:rFonts w:hint="eastAsia" w:ascii="宋体" w:hAnsi="宋体"/>
                <w:color w:val="000000"/>
                <w:sz w:val="22"/>
                <w:szCs w:val="24"/>
              </w:rPr>
              <w:t>21</w:t>
            </w:r>
          </w:p>
        </w:tc>
        <w:tc>
          <w:tcPr>
            <w:tcW w:w="1537" w:type="dxa"/>
            <w:shd w:val="clear" w:color="auto" w:fill="auto"/>
            <w:vAlign w:val="center"/>
          </w:tcPr>
          <w:p w14:paraId="3EA0852B">
            <w:pPr>
              <w:widowControl w:val="0"/>
              <w:spacing w:beforeLines="0" w:afterLines="0"/>
              <w:jc w:val="center"/>
              <w:rPr>
                <w:rFonts w:hint="eastAsia" w:ascii="宋体" w:hAnsi="宋体" w:cs="Times New Roman"/>
                <w:color w:val="000000"/>
                <w:sz w:val="22"/>
                <w:szCs w:val="24"/>
                <w:lang w:val="en-US" w:eastAsia="zh-CN"/>
              </w:rPr>
            </w:pPr>
            <w:r>
              <w:rPr>
                <w:rFonts w:hint="eastAsia" w:ascii="宋体" w:hAnsi="宋体" w:cs="Times New Roman"/>
                <w:color w:val="000000"/>
                <w:sz w:val="22"/>
                <w:szCs w:val="24"/>
              </w:rPr>
              <w:t>心理沙盘(团体版3600沙具)</w:t>
            </w:r>
          </w:p>
        </w:tc>
        <w:tc>
          <w:tcPr>
            <w:tcW w:w="6313" w:type="dxa"/>
            <w:shd w:val="clear" w:color="auto" w:fill="auto"/>
            <w:vAlign w:val="center"/>
          </w:tcPr>
          <w:p w14:paraId="7619BCD7">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沙盘游戏疗法是一种通过沙盘游戏和专业心理辅导来矫治学生的心理问题，促使学生人格健全发展的心理辅导技术。运用沙盘这一非语言性沟通工具，引导学生进行自我认知调节，引发学生的自愈之力，开发学生的创造潜能，特别针对内向、不善表达或者对咨询带有阻抗情绪的学生。</w:t>
            </w:r>
          </w:p>
          <w:p w14:paraId="186DD10C">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通过在沙盘内用各种模型、玩具摆放心灵故事，使来访者与无意识接触并表达超语言的经历和被阻碍的能量。这种接触与表达，可促进激活、恢复、转化、治愈、新生的力量，对来访者心理健康的维护、想象力和创造力的培养、人格发展和心性成长都有促进作用。将具有共性问题的人群组合成团体，在一个安全、受保护、自由的环境下，通过沙盘这一非语言性沟通工具，治疗团体中的共性问题，学习团队合作精神，放松压力、解决心理问题等。</w:t>
            </w:r>
          </w:p>
          <w:p w14:paraId="3525E76D">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一、产品介绍</w:t>
            </w:r>
          </w:p>
          <w:p w14:paraId="6D2421AA">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个体沙盘：内侧尺寸570×720×90mm；沙盘采用樟子松面板，基材为优质环保实木封边，实木框架；专用三底两面环保漆，做防水处理；内侧底与边框、底部为蓝色，外部为实木色，表面光滑不伤手、防水、耐磨不掉色。总高度：700mm，以腰部高度为宜。沙盘支架为铝合金+铝型材材质，采用万向轮：ABS+橡胶，防滑，可固定，方便推动，可移动便捷沙盘架。沙盘箱采用翻转装置设计，可翻转最大角度为90度。</w:t>
            </w:r>
          </w:p>
          <w:p w14:paraId="4ACACDC3">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2、团体沙盘：内侧尺寸1200×850×90mm；沙盘采用樟子松面板，基材为优质环保实木封边，实木框架；专用三底两面环保漆，做防水处理；内侧底与边框、底部为蓝色，外部为实木色，表面光滑不伤手、防水、耐磨不掉色。总高度：700mm，以腰部高度为宜。沙盘支架为铝合金+铝型材材质，采用万向轮：ABS+橡胶，防滑，可固定，方便推动，可移动便捷沙盘架。沙盘箱采用翻转装置设计，可翻转最大角度为90度。</w:t>
            </w:r>
          </w:p>
          <w:p w14:paraId="39FB3805">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3、沙具：包含玩具或物品接近于现实之物。必备的玩具种类有军事类、人物类、建筑类、交通工具类、东南亚文化类、埃及文化类、厨具类、水果植物类、体育类、科幻类、自然类、艺术运动类等，数量3600个；材质为木质、陶瓷、塑料、玻璃、橡胶等多种类型。</w:t>
            </w:r>
          </w:p>
          <w:p w14:paraId="74B3875E">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4、沙具柜：规格尺寸800mm*300mm*1800mm；整体采用不低于18mm三聚氰胺生态板、板芯采用不低于14mm 杉木指接板，表面采用2mm胶合板、经三聚氰胺贴面，再整体合成；柜体总共为四层八阶，适用于摆放多种物品；板材截面采用不低于0.2mm PVC封边。</w:t>
            </w:r>
          </w:p>
          <w:p w14:paraId="284EEABF">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5、沙子：原色海沙，颗粒光滑、大小均匀、高温消毒，并配备沙具选取框及清理刷，方便来访者清理沙盘，干净卫生。</w:t>
            </w:r>
          </w:p>
          <w:p w14:paraId="0C627BB9">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6、培训资料：配有记录用表、沙盘游戏治疗技术培训录像资料选辑、沙盘游戏治疗专业技术指导手册、专业指导书籍（如《箱庭疗法》）等。</w:t>
            </w:r>
          </w:p>
          <w:p w14:paraId="2C0B9455">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二、产品配置清单：</w:t>
            </w:r>
          </w:p>
          <w:p w14:paraId="6A9FE508">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1、个体沙盘*2套</w:t>
            </w:r>
          </w:p>
          <w:p w14:paraId="2042A431">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2、团体沙盘*1套</w:t>
            </w:r>
          </w:p>
          <w:p w14:paraId="1517BAE7">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3、沙具*3600个</w:t>
            </w:r>
          </w:p>
          <w:p w14:paraId="1E8E759A">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4、沙具柜*4套</w:t>
            </w:r>
          </w:p>
          <w:p w14:paraId="4F5D4418">
            <w:pPr>
              <w:widowControl w:val="0"/>
              <w:spacing w:beforeLines="0" w:afterLines="0"/>
              <w:jc w:val="both"/>
              <w:rPr>
                <w:rFonts w:hint="eastAsia" w:ascii="宋体" w:hAnsi="宋体" w:cs="Times New Roman"/>
                <w:color w:val="000000"/>
                <w:sz w:val="22"/>
                <w:szCs w:val="24"/>
              </w:rPr>
            </w:pPr>
            <w:r>
              <w:rPr>
                <w:rFonts w:hint="eastAsia" w:ascii="宋体" w:hAnsi="宋体" w:cs="Times New Roman"/>
                <w:color w:val="000000"/>
                <w:sz w:val="22"/>
                <w:szCs w:val="24"/>
              </w:rPr>
              <w:t>5、沙子*70公斤</w:t>
            </w:r>
          </w:p>
          <w:p w14:paraId="20EB268F">
            <w:pPr>
              <w:widowControl w:val="0"/>
              <w:spacing w:beforeLines="0" w:afterLines="0"/>
              <w:jc w:val="both"/>
              <w:rPr>
                <w:rFonts w:hint="eastAsia" w:ascii="宋体" w:hAnsi="宋体" w:cs="Times New Roman"/>
                <w:color w:val="000000"/>
                <w:sz w:val="22"/>
                <w:szCs w:val="24"/>
                <w:lang w:val="en-US" w:eastAsia="zh-CN"/>
              </w:rPr>
            </w:pPr>
            <w:r>
              <w:rPr>
                <w:rFonts w:hint="eastAsia" w:ascii="宋体" w:hAnsi="宋体" w:cs="Times New Roman"/>
                <w:color w:val="000000"/>
                <w:sz w:val="22"/>
                <w:szCs w:val="24"/>
              </w:rPr>
              <w:t>6、培训资料*1套</w:t>
            </w:r>
          </w:p>
        </w:tc>
        <w:tc>
          <w:tcPr>
            <w:tcW w:w="612" w:type="dxa"/>
            <w:shd w:val="clear" w:color="auto" w:fill="auto"/>
            <w:vAlign w:val="center"/>
          </w:tcPr>
          <w:p w14:paraId="173ED0EA">
            <w:pPr>
              <w:widowControl w:val="0"/>
              <w:spacing w:beforeLines="0" w:afterLines="0"/>
              <w:jc w:val="center"/>
              <w:rPr>
                <w:rFonts w:hint="eastAsia" w:ascii="宋体" w:hAnsi="宋体" w:cs="Times New Roman"/>
                <w:color w:val="000000"/>
                <w:sz w:val="22"/>
                <w:szCs w:val="24"/>
                <w:lang w:val="en-US" w:eastAsia="zh-CN"/>
              </w:rPr>
            </w:pPr>
            <w:r>
              <w:rPr>
                <w:rFonts w:hint="eastAsia" w:ascii="宋体" w:hAnsi="宋体" w:cs="Times New Roman"/>
                <w:color w:val="000000"/>
                <w:sz w:val="22"/>
                <w:szCs w:val="24"/>
              </w:rPr>
              <w:t>1</w:t>
            </w:r>
          </w:p>
        </w:tc>
        <w:tc>
          <w:tcPr>
            <w:tcW w:w="638" w:type="dxa"/>
            <w:shd w:val="clear" w:color="auto" w:fill="auto"/>
            <w:vAlign w:val="center"/>
          </w:tcPr>
          <w:p w14:paraId="689BEA7C">
            <w:pPr>
              <w:widowControl w:val="0"/>
              <w:spacing w:beforeLines="0" w:afterLines="0"/>
              <w:jc w:val="center"/>
              <w:rPr>
                <w:rFonts w:hint="eastAsia" w:ascii="宋体" w:hAnsi="宋体" w:cs="Times New Roman"/>
                <w:color w:val="000000"/>
                <w:sz w:val="22"/>
                <w:szCs w:val="24"/>
                <w:lang w:val="en-US" w:eastAsia="zh-CN"/>
              </w:rPr>
            </w:pPr>
            <w:r>
              <w:rPr>
                <w:rFonts w:hint="eastAsia" w:ascii="宋体" w:hAnsi="宋体" w:cs="Times New Roman"/>
                <w:color w:val="000000"/>
                <w:sz w:val="22"/>
                <w:szCs w:val="24"/>
              </w:rPr>
              <w:t>套</w:t>
            </w:r>
          </w:p>
        </w:tc>
      </w:tr>
      <w:tr w14:paraId="3292E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shd w:val="clear" w:color="auto" w:fill="auto"/>
            <w:vAlign w:val="center"/>
          </w:tcPr>
          <w:p w14:paraId="4040D1D7">
            <w:pPr>
              <w:widowControl w:val="0"/>
              <w:spacing w:beforeLines="0" w:afterLines="0"/>
              <w:jc w:val="center"/>
              <w:rPr>
                <w:rFonts w:hint="eastAsia" w:ascii="宋体" w:hAnsi="宋体" w:eastAsia="宋体"/>
                <w:color w:val="000000"/>
                <w:kern w:val="2"/>
                <w:sz w:val="22"/>
                <w:szCs w:val="24"/>
                <w:lang w:val="en-US" w:eastAsia="zh-CN"/>
              </w:rPr>
            </w:pPr>
            <w:r>
              <w:rPr>
                <w:rFonts w:hint="eastAsia" w:ascii="宋体" w:hAnsi="宋体"/>
                <w:color w:val="000000"/>
                <w:sz w:val="22"/>
                <w:szCs w:val="24"/>
              </w:rPr>
              <w:t>22</w:t>
            </w:r>
          </w:p>
        </w:tc>
        <w:tc>
          <w:tcPr>
            <w:tcW w:w="1537" w:type="dxa"/>
            <w:shd w:val="clear" w:color="auto" w:fill="auto"/>
            <w:vAlign w:val="center"/>
          </w:tcPr>
          <w:p w14:paraId="4EF9988F">
            <w:pPr>
              <w:widowControl w:val="0"/>
              <w:spacing w:beforeLines="0" w:afterLines="0"/>
              <w:jc w:val="center"/>
              <w:rPr>
                <w:rFonts w:hint="eastAsia" w:ascii="宋体" w:hAnsi="宋体" w:cs="Times New Roman"/>
                <w:color w:val="000000"/>
                <w:sz w:val="22"/>
                <w:szCs w:val="24"/>
                <w:lang w:val="en-US" w:eastAsia="zh-CN"/>
              </w:rPr>
            </w:pPr>
            <w:r>
              <w:rPr>
                <w:rFonts w:hint="eastAsia" w:ascii="宋体" w:hAnsi="宋体" w:cs="Times New Roman"/>
                <w:color w:val="000000"/>
                <w:sz w:val="22"/>
                <w:szCs w:val="24"/>
              </w:rPr>
              <w:t>文化墙设计</w:t>
            </w:r>
          </w:p>
        </w:tc>
        <w:tc>
          <w:tcPr>
            <w:tcW w:w="6313" w:type="dxa"/>
            <w:shd w:val="clear" w:color="auto" w:fill="auto"/>
            <w:vAlign w:val="center"/>
          </w:tcPr>
          <w:p w14:paraId="202CE6E3">
            <w:pPr>
              <w:widowControl w:val="0"/>
              <w:spacing w:beforeLines="0" w:afterLines="0"/>
              <w:jc w:val="both"/>
              <w:rPr>
                <w:rFonts w:hint="eastAsia" w:ascii="宋体" w:hAnsi="宋体" w:cs="Times New Roman"/>
                <w:color w:val="000000"/>
                <w:sz w:val="22"/>
                <w:szCs w:val="24"/>
                <w:lang w:val="en-US" w:eastAsia="zh-CN"/>
              </w:rPr>
            </w:pPr>
            <w:r>
              <w:rPr>
                <w:rFonts w:hint="eastAsia" w:ascii="宋体" w:hAnsi="宋体" w:cs="Times New Roman"/>
                <w:color w:val="000000"/>
                <w:sz w:val="22"/>
                <w:szCs w:val="24"/>
              </w:rPr>
              <w:t>根据效果图设计，材质：PVC过UV</w:t>
            </w:r>
          </w:p>
        </w:tc>
        <w:tc>
          <w:tcPr>
            <w:tcW w:w="612" w:type="dxa"/>
            <w:shd w:val="clear" w:color="auto" w:fill="auto"/>
            <w:vAlign w:val="center"/>
          </w:tcPr>
          <w:p w14:paraId="46927011">
            <w:pPr>
              <w:widowControl w:val="0"/>
              <w:spacing w:beforeLines="0" w:afterLines="0"/>
              <w:jc w:val="center"/>
              <w:rPr>
                <w:rFonts w:hint="eastAsia" w:ascii="宋体" w:hAnsi="宋体" w:cs="Times New Roman"/>
                <w:color w:val="000000"/>
                <w:sz w:val="22"/>
                <w:szCs w:val="24"/>
                <w:lang w:val="en-US" w:eastAsia="zh-CN"/>
              </w:rPr>
            </w:pPr>
            <w:r>
              <w:rPr>
                <w:rFonts w:hint="eastAsia" w:ascii="宋体" w:hAnsi="宋体" w:cs="Times New Roman"/>
                <w:color w:val="000000"/>
                <w:sz w:val="22"/>
                <w:szCs w:val="24"/>
              </w:rPr>
              <w:t>1</w:t>
            </w:r>
          </w:p>
        </w:tc>
        <w:tc>
          <w:tcPr>
            <w:tcW w:w="638" w:type="dxa"/>
            <w:shd w:val="clear" w:color="auto" w:fill="auto"/>
            <w:vAlign w:val="center"/>
          </w:tcPr>
          <w:p w14:paraId="24F22DE7">
            <w:pPr>
              <w:widowControl w:val="0"/>
              <w:spacing w:beforeLines="0" w:afterLines="0"/>
              <w:jc w:val="center"/>
              <w:rPr>
                <w:rFonts w:hint="eastAsia" w:ascii="宋体" w:hAnsi="宋体" w:cs="Times New Roman"/>
                <w:color w:val="000000"/>
                <w:sz w:val="22"/>
                <w:szCs w:val="24"/>
                <w:lang w:val="en-US" w:eastAsia="zh-CN"/>
              </w:rPr>
            </w:pPr>
            <w:r>
              <w:rPr>
                <w:rFonts w:hint="eastAsia" w:ascii="宋体" w:hAnsi="宋体" w:cs="Times New Roman"/>
                <w:color w:val="000000"/>
                <w:sz w:val="22"/>
                <w:szCs w:val="24"/>
              </w:rPr>
              <w:t>项</w:t>
            </w:r>
          </w:p>
        </w:tc>
      </w:tr>
    </w:tbl>
    <w:p w14:paraId="14DB17B5">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FDEA7C"/>
    <w:multiLevelType w:val="singleLevel"/>
    <w:tmpl w:val="91FDEA7C"/>
    <w:lvl w:ilvl="0" w:tentative="0">
      <w:start w:val="5"/>
      <w:numFmt w:val="chineseCounting"/>
      <w:suff w:val="nothing"/>
      <w:lvlText w:val="%1、"/>
      <w:lvlJc w:val="left"/>
      <w:rPr>
        <w:rFonts w:hint="eastAsia"/>
      </w:rPr>
    </w:lvl>
  </w:abstractNum>
  <w:abstractNum w:abstractNumId="1">
    <w:nsid w:val="3254F682"/>
    <w:multiLevelType w:val="multilevel"/>
    <w:tmpl w:val="3254F682"/>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AA57DF8"/>
    <w:rsid w:val="2C9F721B"/>
    <w:rsid w:val="2F5C3F53"/>
    <w:rsid w:val="3BDB3799"/>
    <w:rsid w:val="6BF263AC"/>
    <w:rsid w:val="7D266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ascii="Times New Roman" w:hAnsi="Times New Roman" w:eastAsia="宋体" w:cs="Times New Roman"/>
      <w:kern w:val="2"/>
      <w:sz w:val="21"/>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numPr>
        <w:ilvl w:val="2"/>
        <w:numId w:val="1"/>
      </w:numPr>
      <w:spacing w:before="260" w:beforeLines="0" w:beforeAutospacing="0" w:after="140" w:afterLines="0" w:afterAutospacing="0" w:line="413" w:lineRule="auto"/>
      <w:ind w:firstLine="403"/>
      <w:outlineLvl w:val="2"/>
    </w:pPr>
    <w:rPr>
      <w:rFonts w:ascii="Times New Roman" w:hAnsi="Times New Roman" w:eastAsia="Times New Roman" w:cs="Times New Roman"/>
      <w:b/>
      <w:sz w:val="32"/>
      <w:lang w:eastAsia="uk-UA"/>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24107</Words>
  <Characters>25975</Characters>
  <Lines>0</Lines>
  <Paragraphs>0</Paragraphs>
  <TotalTime>38</TotalTime>
  <ScaleCrop>false</ScaleCrop>
  <LinksUpToDate>false</LinksUpToDate>
  <CharactersWithSpaces>26076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2025-08-05T07:55:00Z</dcterms:created>
  <dc:creator>十六</dc:creator>
  <cp:lastModifiedBy>Shani_梦珊</cp:lastModifiedBy>
  <dcterms:modified xsi:type="dcterms:W3CDTF">2025-09-23T08:57:59Z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40E2169578524E5FA43EE8E948023C38_13</vt:lpwstr>
  </property>
  <property fmtid="{D5CDD505-2E9C-101B-9397-08002B2CF9AE}" pid="4" name="KSOTemplateDocerSaveRecord">
    <vt:lpwstr>eyJoZGlkIjoiOGJiMzhjY2U2MjM0MTM0OWM1ZTM1MmJiODgyYTg5MTUiLCJ1c2VySWQiOiI2NjU4ODcxNjMifQ==</vt:lpwstr>
  </property>
</Properties>
</file>